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206" w:type="dxa"/>
        <w:tblInd w:w="9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764"/>
        <w:gridCol w:w="316"/>
        <w:gridCol w:w="3512"/>
        <w:gridCol w:w="434"/>
        <w:gridCol w:w="709"/>
        <w:gridCol w:w="1550"/>
        <w:gridCol w:w="992"/>
      </w:tblGrid>
      <w:tr w:rsidR="005614C2" w:rsidRPr="006838B1" w14:paraId="0BDE8561" w14:textId="77777777" w:rsidTr="00CD74C2">
        <w:tc>
          <w:tcPr>
            <w:tcW w:w="3009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3632EA" w:rsidRDefault="00CC26C9" w:rsidP="00DB6A14">
            <w:pPr>
              <w:ind w:right="-471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 xml:space="preserve">Arbeitsbereich: </w:t>
            </w:r>
          </w:p>
          <w:p w14:paraId="0FBDE3D6" w14:textId="77777777" w:rsidR="00CC26C9" w:rsidRPr="003632EA" w:rsidRDefault="00CC26C9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Arbeitsplatz/Tätigkeiten:</w:t>
            </w:r>
            <w:r w:rsidR="004249D5"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512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3632EA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40"/>
                <w:szCs w:val="40"/>
                <w:lang w:eastAsia="de-DE"/>
              </w:rPr>
            </w:pPr>
            <w:r w:rsidRPr="003632EA">
              <w:rPr>
                <w:rFonts w:ascii="Calibri" w:eastAsia="Times New Roman" w:hAnsi="Calibri" w:cstheme="minorHAnsi"/>
                <w:b/>
                <w:sz w:val="40"/>
                <w:szCs w:val="40"/>
                <w:lang w:eastAsia="de-DE"/>
              </w:rPr>
              <w:t>Betriebsanweisung</w:t>
            </w:r>
          </w:p>
          <w:p w14:paraId="0306E8E2" w14:textId="77777777" w:rsidR="00CC26C9" w:rsidRPr="003632EA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</w:pPr>
            <w:r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gem. </w:t>
            </w:r>
            <w:r w:rsidR="00DB6A14"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§ 14 </w:t>
            </w:r>
            <w:r w:rsidRPr="003632E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685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34CB8BD0" w:rsidR="00366ED2" w:rsidRPr="006838B1" w:rsidRDefault="00883EB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5236AA31">
                  <wp:simplePos x="0" y="0"/>
                  <wp:positionH relativeFrom="column">
                    <wp:posOffset>801950</wp:posOffset>
                  </wp:positionH>
                  <wp:positionV relativeFrom="paragraph">
                    <wp:posOffset>47662</wp:posOffset>
                  </wp:positionV>
                  <wp:extent cx="1366520" cy="545465"/>
                  <wp:effectExtent l="0" t="0" r="5080" b="6985"/>
                  <wp:wrapThrough wrapText="bothSides">
                    <wp:wrapPolygon edited="0">
                      <wp:start x="0" y="0"/>
                      <wp:lineTo x="0" y="21122"/>
                      <wp:lineTo x="21379" y="21122"/>
                      <wp:lineTo x="2137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554FAD" w14:textId="1E0EB1E6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3632EA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Gefahrstoffbezeichnung</w:t>
            </w:r>
          </w:p>
        </w:tc>
      </w:tr>
      <w:tr w:rsidR="00366ED2" w:rsidRPr="006838B1" w14:paraId="6BF194D1" w14:textId="77777777" w:rsidTr="00CD74C2">
        <w:tc>
          <w:tcPr>
            <w:tcW w:w="10206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6C0F6DD9" w:rsidR="00366ED2" w:rsidRPr="00054EA6" w:rsidRDefault="00054EA6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Methan, 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CH</w:t>
            </w:r>
            <w:r>
              <w:rPr>
                <w:rFonts w:ascii="Calibri" w:hAnsi="Calibri"/>
                <w:b/>
                <w:bCs/>
                <w:sz w:val="28"/>
                <w:szCs w:val="28"/>
                <w:vertAlign w:val="subscript"/>
              </w:rPr>
              <w:t>4</w:t>
            </w:r>
            <w:proofErr w:type="spellEnd"/>
          </w:p>
        </w:tc>
      </w:tr>
      <w:tr w:rsidR="00366ED2" w:rsidRPr="006838B1" w14:paraId="13CD52CF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1C03CB6B" w:rsidR="00366ED2" w:rsidRPr="003632EA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3632EA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Gefahren für Mensch und Umwelt</w:t>
            </w:r>
          </w:p>
        </w:tc>
      </w:tr>
      <w:tr w:rsidR="005614C2" w:rsidRPr="006838B1" w14:paraId="3266990A" w14:textId="77777777" w:rsidTr="00CD74C2">
        <w:trPr>
          <w:trHeight w:val="848"/>
        </w:trPr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629CB00E" w14:textId="105298AF" w:rsidR="007E0B99" w:rsidRDefault="00054EA6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4BB836BC" wp14:editId="751896DF">
                  <wp:extent cx="452755" cy="452755"/>
                  <wp:effectExtent l="0" t="0" r="4445" b="444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62694" w14:textId="77777777" w:rsidR="00F67C0A" w:rsidRDefault="00F67C0A" w:rsidP="00DB6A14">
            <w:pPr>
              <w:rPr>
                <w:rFonts w:ascii="Calibri" w:hAnsi="Calibri"/>
                <w:sz w:val="10"/>
                <w:szCs w:val="10"/>
              </w:rPr>
            </w:pPr>
          </w:p>
          <w:p w14:paraId="46EE9016" w14:textId="3BF63D86" w:rsidR="00F67C0A" w:rsidRPr="007E0B99" w:rsidRDefault="00F67C0A" w:rsidP="00DB6A1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285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24C20D5D" w14:textId="77777777" w:rsidR="008170FC" w:rsidRPr="008170FC" w:rsidRDefault="008170FC" w:rsidP="008170F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8170FC">
              <w:rPr>
                <w:rFonts w:ascii="Calibri" w:hAnsi="Calibri"/>
                <w:sz w:val="20"/>
                <w:szCs w:val="20"/>
              </w:rPr>
              <w:t>Extrem entzündbares Gas.</w:t>
            </w:r>
          </w:p>
          <w:p w14:paraId="351B901E" w14:textId="77777777" w:rsidR="008170FC" w:rsidRDefault="00FC5A6D" w:rsidP="008170F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Kann bei Erwärmung explodieren</w:t>
            </w:r>
            <w:r w:rsidR="008170FC">
              <w:rPr>
                <w:rFonts w:ascii="Calibri" w:hAnsi="Calibri"/>
                <w:sz w:val="20"/>
                <w:szCs w:val="20"/>
              </w:rPr>
              <w:t>.</w:t>
            </w:r>
            <w:r w:rsidR="008170FC" w:rsidRPr="008170F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C23D17B" w14:textId="042907C4" w:rsidR="008170FC" w:rsidRDefault="008170FC" w:rsidP="008170FC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8170FC">
              <w:rPr>
                <w:rFonts w:ascii="Calibri" w:hAnsi="Calibri"/>
                <w:sz w:val="20"/>
                <w:szCs w:val="20"/>
              </w:rPr>
              <w:t xml:space="preserve">Methan sammelt sich im Deckenbereich und bildet mit Luft hochexplosive Gemische. </w:t>
            </w:r>
          </w:p>
          <w:p w14:paraId="2B45B254" w14:textId="3CD89B18" w:rsidR="00FC5A6D" w:rsidRPr="005F4203" w:rsidRDefault="008170FC" w:rsidP="005F420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0"/>
                <w:szCs w:val="20"/>
              </w:rPr>
            </w:pPr>
            <w:r w:rsidRPr="008170FC">
              <w:rPr>
                <w:rFonts w:ascii="Calibri" w:hAnsi="Calibri"/>
                <w:sz w:val="20"/>
                <w:szCs w:val="20"/>
              </w:rPr>
              <w:t xml:space="preserve">Das Gas wirkt durch Sauerstoffverdrängung erstickend. 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701F172F" w:rsidR="00A53783" w:rsidRPr="00A53783" w:rsidRDefault="00054EA6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3C957AA" wp14:editId="0E34FCB0">
                  <wp:extent cx="492760" cy="492760"/>
                  <wp:effectExtent l="0" t="0" r="2540" b="254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ED2" w:rsidRPr="006838B1" w14:paraId="052056E6" w14:textId="77777777" w:rsidTr="00CD74C2">
        <w:tc>
          <w:tcPr>
            <w:tcW w:w="10206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41B11D37" w:rsidR="00366ED2" w:rsidRPr="00CD6C96" w:rsidRDefault="00366ED2" w:rsidP="00DB6A14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Schutzmaßnahmen und Verhal</w:t>
            </w:r>
            <w:r w:rsidR="00CC26C9"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t</w:t>
            </w: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ensregeln</w:t>
            </w:r>
          </w:p>
        </w:tc>
      </w:tr>
      <w:tr w:rsidR="005F4203" w:rsidRPr="006838B1" w14:paraId="7269A93E" w14:textId="77777777" w:rsidTr="00962D7B"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6406830" w14:textId="77777777" w:rsidR="005F4203" w:rsidRDefault="005F4203" w:rsidP="00DB6A14">
            <w:pPr>
              <w:rPr>
                <w:rFonts w:ascii="Calibri" w:hAnsi="Calibri"/>
                <w:sz w:val="2"/>
                <w:szCs w:val="2"/>
              </w:rPr>
            </w:pPr>
          </w:p>
          <w:p w14:paraId="055E7EDF" w14:textId="77777777" w:rsidR="005F4203" w:rsidRDefault="005F4203" w:rsidP="00DB6A14">
            <w:pPr>
              <w:rPr>
                <w:rFonts w:ascii="Calibri" w:hAnsi="Calibri"/>
                <w:sz w:val="2"/>
                <w:szCs w:val="2"/>
              </w:rPr>
            </w:pPr>
          </w:p>
          <w:p w14:paraId="26FD2CA0" w14:textId="496A7CCA" w:rsidR="005F4203" w:rsidRDefault="005F4203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378314D9" w14:textId="77777777" w:rsidR="005F4203" w:rsidRDefault="005F4203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61FDFEE8" w14:textId="77777777" w:rsidR="005F4203" w:rsidRDefault="005F4203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4DC07BC" wp14:editId="08216229">
                  <wp:extent cx="494218" cy="496766"/>
                  <wp:effectExtent l="0" t="0" r="127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34" cy="51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164EA" w14:textId="77777777" w:rsidR="005F4203" w:rsidRDefault="005F4203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0BB945F3" w14:textId="150F8854" w:rsidR="005F4203" w:rsidRDefault="005F4203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200F160" wp14:editId="2303A108">
                  <wp:extent cx="505315" cy="508150"/>
                  <wp:effectExtent l="0" t="0" r="9525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54" cy="51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DB704" w14:textId="77777777" w:rsidR="005F4203" w:rsidRDefault="005F4203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0F052025" w:rsidR="005F4203" w:rsidRPr="00E2600A" w:rsidRDefault="005F4203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E2C9482" wp14:editId="386CEF2A">
                  <wp:extent cx="488813" cy="491556"/>
                  <wp:effectExtent l="0" t="0" r="6985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53" cy="497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7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B8B9B2A" w14:textId="77777777" w:rsidR="005F4203" w:rsidRPr="008170FC" w:rsidRDefault="005F4203" w:rsidP="008170F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FC5A6D">
              <w:rPr>
                <w:rFonts w:ascii="Calibri" w:hAnsi="Calibri"/>
                <w:sz w:val="20"/>
                <w:szCs w:val="20"/>
              </w:rPr>
              <w:t>Von Hitze, heißen Oberflächen, Funken, offenen Flammen und anderen Zündquellen fernhalten. Nicht rauchen</w:t>
            </w:r>
            <w:r>
              <w:rPr>
                <w:rFonts w:ascii="Calibri" w:hAnsi="Calibri"/>
                <w:sz w:val="20"/>
                <w:szCs w:val="20"/>
              </w:rPr>
              <w:t xml:space="preserve"> und vor starker Sonneneinstrahlung schützen –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Berstgefahr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14:paraId="35CCA540" w14:textId="77777777" w:rsidR="005F4203" w:rsidRPr="008170FC" w:rsidRDefault="005F4203" w:rsidP="008170F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8170FC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An einem gut belüfteten Ort aufbewahren.</w:t>
            </w:r>
            <w:r w:rsidRPr="008170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6EC5FFF" w14:textId="77777777" w:rsidR="005F4203" w:rsidRPr="008170FC" w:rsidRDefault="005F4203" w:rsidP="008170F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8170FC">
              <w:rPr>
                <w:rFonts w:ascii="Calibri" w:hAnsi="Calibri" w:cs="Calibri"/>
                <w:sz w:val="20"/>
                <w:szCs w:val="20"/>
              </w:rPr>
              <w:t>Auf absolute Dichtheit der Druckgasflaschen, Anschlussteile und aller Leitungen achten, nur solche Ausrüstung verwenden, die für dieses Produkt und den vo</w:t>
            </w:r>
            <w:r w:rsidRPr="008170FC">
              <w:rPr>
                <w:rFonts w:ascii="Calibri" w:hAnsi="Calibri" w:cs="Calibri"/>
                <w:sz w:val="20"/>
                <w:szCs w:val="20"/>
              </w:rPr>
              <w:t>r</w:t>
            </w:r>
            <w:r w:rsidRPr="008170FC">
              <w:rPr>
                <w:rFonts w:ascii="Calibri" w:hAnsi="Calibri" w:cs="Calibri"/>
                <w:sz w:val="20"/>
                <w:szCs w:val="20"/>
              </w:rPr>
              <w:t>gesehenen Druck und die Temperatur geeignet ist</w:t>
            </w:r>
            <w:r w:rsidRPr="008170F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2B61A6" w14:textId="5CC2C4C7" w:rsidR="005F4203" w:rsidRPr="008170FC" w:rsidRDefault="005F4203" w:rsidP="008170F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8170FC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Druckgasflaschen gegen Umfallen sichern, z.B. durch Ketten, Bügel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.</w:t>
            </w:r>
          </w:p>
          <w:p w14:paraId="5C4DF6FE" w14:textId="35990A50" w:rsidR="005F4203" w:rsidRPr="005F4203" w:rsidRDefault="005F4203" w:rsidP="005F42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5F42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Flaschen zur Gasentnahme nicht legen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–</w:t>
            </w:r>
            <w:r w:rsidRPr="005F42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Vereisungsgefahr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.</w:t>
            </w:r>
          </w:p>
          <w:p w14:paraId="3609585F" w14:textId="4B2D675E" w:rsidR="005F4203" w:rsidRPr="005F4203" w:rsidRDefault="005F4203" w:rsidP="005F42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proofErr w:type="spellStart"/>
            <w:r w:rsidRPr="005F42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Anschluss</w:t>
            </w:r>
            <w:proofErr w:type="spellEnd"/>
            <w:r w:rsidRPr="005F42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zum Zwecke der Gasentnahme nur in gut belüfteten Räumen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.</w:t>
            </w:r>
          </w:p>
          <w:p w14:paraId="1F901625" w14:textId="77777777" w:rsidR="005F4203" w:rsidRDefault="005F4203" w:rsidP="003D2BA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5F42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Ein Ventilschutzring sollte vorhanden sein oder die Ventilschutzkappe angebracht werden.</w:t>
            </w:r>
          </w:p>
          <w:p w14:paraId="75AE56EA" w14:textId="77777777" w:rsidR="005F4203" w:rsidRDefault="005F4203" w:rsidP="003D2BA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5F42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Beim Umgang mit dem Behälter Sicherheitsschuhe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und Arbeitshandschuhe</w:t>
            </w:r>
            <w:r w:rsidRPr="005F42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 xml:space="preserve"> tragen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.</w:t>
            </w:r>
          </w:p>
          <w:p w14:paraId="3167EC30" w14:textId="2FB6C795" w:rsidR="005F4203" w:rsidRPr="005F4203" w:rsidRDefault="005F4203" w:rsidP="00CD74C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5F4203"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  <w:t>Schwer entflammbare /flammhemmende Kleidung tragen.</w:t>
            </w:r>
          </w:p>
          <w:p w14:paraId="660BEC00" w14:textId="796EF989" w:rsidR="005F4203" w:rsidRPr="00CD74C2" w:rsidRDefault="005F4203" w:rsidP="00CD74C2">
            <w:pPr>
              <w:rPr>
                <w:rFonts w:ascii="Calibri" w:eastAsia="Times New Roman" w:hAnsi="Calibri" w:cs="Times New Roman"/>
                <w:sz w:val="2"/>
                <w:szCs w:val="2"/>
                <w:lang w:eastAsia="de-DE"/>
              </w:rPr>
            </w:pPr>
          </w:p>
        </w:tc>
      </w:tr>
      <w:tr w:rsidR="005614C2" w:rsidRPr="006838B1" w14:paraId="79BA252F" w14:textId="77777777" w:rsidTr="00CD74C2">
        <w:tc>
          <w:tcPr>
            <w:tcW w:w="766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CD6C96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   Verhalten im Gefahrenfall</w:t>
            </w:r>
          </w:p>
        </w:tc>
        <w:tc>
          <w:tcPr>
            <w:tcW w:w="254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CD6C96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Notruf: 112</w:t>
            </w:r>
          </w:p>
        </w:tc>
      </w:tr>
      <w:tr w:rsidR="00CD74C2" w:rsidRPr="006838B1" w14:paraId="097DDA49" w14:textId="77777777" w:rsidTr="00CD74C2">
        <w:trPr>
          <w:trHeight w:val="961"/>
        </w:trPr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1FDB8D9" w14:textId="77777777" w:rsidR="00A42B28" w:rsidRPr="00A42B28" w:rsidRDefault="00A42B28" w:rsidP="00CD74C2">
            <w:pPr>
              <w:rPr>
                <w:noProof/>
                <w:sz w:val="10"/>
                <w:szCs w:val="10"/>
              </w:rPr>
            </w:pPr>
          </w:p>
          <w:p w14:paraId="753172AF" w14:textId="22946544" w:rsidR="00CD74C2" w:rsidRPr="00CD74C2" w:rsidRDefault="00CD74C2" w:rsidP="00CD74C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F3F4F" wp14:editId="423CBE3F">
                  <wp:extent cx="514350" cy="511810"/>
                  <wp:effectExtent l="0" t="0" r="0" b="254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7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C850904" w14:textId="6D214C74" w:rsidR="00B83BF7" w:rsidRDefault="0055111B" w:rsidP="006B5D28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6B748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Brandbekämpfung: </w:t>
            </w:r>
            <w:r w:rsidRPr="006B7489">
              <w:rPr>
                <w:rFonts w:ascii="Calibri" w:hAnsi="Calibri" w:cs="Arial"/>
                <w:sz w:val="20"/>
                <w:szCs w:val="20"/>
              </w:rPr>
              <w:t xml:space="preserve">Löschmaßnahmen auf die Umgebung abstimmen. </w:t>
            </w:r>
            <w:r w:rsidR="00E8677A" w:rsidRPr="00E8677A">
              <w:rPr>
                <w:rFonts w:ascii="Calibri" w:hAnsi="Calibri" w:cs="Arial"/>
                <w:sz w:val="20"/>
                <w:szCs w:val="20"/>
              </w:rPr>
              <w:t>Nur Entstehungsbrände selbst löschen</w:t>
            </w:r>
            <w:r w:rsidR="00FC5A6D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FC5A6D" w:rsidRPr="00FC5A6D">
              <w:rPr>
                <w:rFonts w:ascii="Calibri" w:hAnsi="Calibri" w:cs="Arial"/>
                <w:sz w:val="20"/>
                <w:szCs w:val="20"/>
              </w:rPr>
              <w:t>Wenn möglich, Gasaustritt stoppen. Behälter aus dem Wirkbereich des Brandes entfernen, wenn dies gefahrlos möglich ist</w:t>
            </w:r>
            <w:r w:rsidR="00FC5A6D">
              <w:rPr>
                <w:rFonts w:ascii="Calibri" w:hAnsi="Calibri" w:cs="Arial"/>
                <w:sz w:val="20"/>
                <w:szCs w:val="20"/>
              </w:rPr>
              <w:t xml:space="preserve"> und alle Zündquellen entfernen</w:t>
            </w:r>
            <w:r w:rsidR="00E8677A" w:rsidRPr="00E8677A">
              <w:rPr>
                <w:rFonts w:ascii="Calibri" w:hAnsi="Calibri" w:cs="Arial"/>
                <w:sz w:val="20"/>
                <w:szCs w:val="20"/>
              </w:rPr>
              <w:t xml:space="preserve"> – sonst sofort Raum verlassen, Nachbarbereiche</w:t>
            </w:r>
            <w:r w:rsidR="00FC5A6D">
              <w:rPr>
                <w:rFonts w:ascii="Calibri" w:hAnsi="Calibri" w:cs="Arial"/>
                <w:sz w:val="20"/>
                <w:szCs w:val="20"/>
              </w:rPr>
              <w:t xml:space="preserve"> warnen</w:t>
            </w:r>
            <w:r w:rsidR="00E8677A" w:rsidRPr="00E8677A">
              <w:rPr>
                <w:rFonts w:ascii="Calibri" w:hAnsi="Calibri" w:cs="Arial"/>
                <w:sz w:val="20"/>
                <w:szCs w:val="20"/>
              </w:rPr>
              <w:t xml:space="preserve"> und Feuerwehr rufen</w:t>
            </w:r>
            <w:r w:rsidR="00E8677A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2C426087" w14:textId="6AB91A93" w:rsidR="00CD74C2" w:rsidRPr="008170FC" w:rsidRDefault="00B83BF7" w:rsidP="008170F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83BF7">
              <w:rPr>
                <w:rFonts w:ascii="Calibri" w:hAnsi="Calibri" w:cs="Arial"/>
                <w:b/>
                <w:bCs/>
                <w:sz w:val="20"/>
                <w:szCs w:val="20"/>
              </w:rPr>
              <w:t>Besondere vom Stoff oder Gemisch ausgehende Gefahren</w:t>
            </w:r>
            <w:r w:rsidR="00A42B2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: </w:t>
            </w:r>
            <w:r w:rsidR="0095541B" w:rsidRPr="0095541B">
              <w:rPr>
                <w:rFonts w:ascii="Calibri" w:hAnsi="Calibri" w:cs="Arial"/>
                <w:sz w:val="20"/>
                <w:szCs w:val="20"/>
              </w:rPr>
              <w:t>Durch unvollkommene Verbrennung kann Kohlenstoffmonoxid entstehen</w:t>
            </w:r>
            <w:r w:rsidR="0095541B">
              <w:rPr>
                <w:rFonts w:ascii="Calibri" w:hAnsi="Calibri" w:cs="Arial"/>
                <w:sz w:val="20"/>
                <w:szCs w:val="20"/>
              </w:rPr>
              <w:t>.</w:t>
            </w:r>
            <w:r w:rsidR="0095541B" w:rsidRPr="0095541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5541B">
              <w:rPr>
                <w:rFonts w:ascii="Calibri" w:hAnsi="Calibri" w:cs="Arial"/>
                <w:sz w:val="20"/>
                <w:szCs w:val="20"/>
              </w:rPr>
              <w:t>Berstgefahr</w:t>
            </w:r>
            <w:proofErr w:type="spellEnd"/>
            <w:r w:rsidR="0095541B">
              <w:rPr>
                <w:rFonts w:ascii="Calibri" w:hAnsi="Calibri" w:cs="Arial"/>
                <w:sz w:val="20"/>
                <w:szCs w:val="20"/>
              </w:rPr>
              <w:t>!</w:t>
            </w:r>
            <w:r w:rsidR="00CD74C2" w:rsidRPr="008170FC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5614C2" w:rsidRPr="006838B1" w14:paraId="48665C08" w14:textId="77777777" w:rsidTr="00CD74C2">
        <w:tc>
          <w:tcPr>
            <w:tcW w:w="766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CD6C96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Erste Hilfe</w:t>
            </w:r>
          </w:p>
        </w:tc>
        <w:tc>
          <w:tcPr>
            <w:tcW w:w="254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CD6C96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CD6C96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Notruf: 112</w:t>
            </w:r>
          </w:p>
        </w:tc>
      </w:tr>
      <w:tr w:rsidR="005614C2" w:rsidRPr="006838B1" w14:paraId="1199C2AF" w14:textId="77777777" w:rsidTr="00CD74C2">
        <w:tc>
          <w:tcPr>
            <w:tcW w:w="929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77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3A11DB06" w14:textId="5A0C350E" w:rsidR="003B5855" w:rsidRPr="003632EA" w:rsidRDefault="003B5855" w:rsidP="00E7698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b/>
                <w:sz w:val="20"/>
                <w:szCs w:val="20"/>
              </w:rPr>
              <w:t>Bei allen Erste-Hilfe-Maßnahmen Selbstschutz beachten!</w:t>
            </w:r>
          </w:p>
          <w:p w14:paraId="5477EA1E" w14:textId="2409C1C7" w:rsidR="0055111B" w:rsidRPr="003632EA" w:rsidRDefault="00D14EFB" w:rsidP="001E7A9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Nach Einatmen</w:t>
            </w:r>
            <w:r w:rsidR="00B83BF7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="00B83BF7" w:rsidRPr="00B83BF7">
              <w:t xml:space="preserve"> </w:t>
            </w:r>
            <w:r w:rsidR="0095541B" w:rsidRPr="0095541B">
              <w:t xml:space="preserve">Hohe Konzentrationen können Ersticken verursachen. Symptome können Verlust der Bewegungsfähigkeit und des Bewußtseins sein. Das Opfer bemerkt das Ersticken nicht. Das Opfer ist unter Benutzung eines </w:t>
            </w:r>
            <w:proofErr w:type="spellStart"/>
            <w:r w:rsidR="0095541B" w:rsidRPr="0095541B">
              <w:t>umluftunabhängigen</w:t>
            </w:r>
            <w:proofErr w:type="spellEnd"/>
            <w:r w:rsidR="0095541B" w:rsidRPr="0095541B">
              <w:t xml:space="preserve"> Atemgerätes in frische Luft zu bringen. Warm und ruhig halten. Arzt hinzuziehen. Bei Atemstillstand künstliche Beatmung</w:t>
            </w:r>
          </w:p>
          <w:p w14:paraId="29B92DAA" w14:textId="54F7A330" w:rsidR="00175C00" w:rsidRPr="003632EA" w:rsidRDefault="009A5C22" w:rsidP="0055111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Bei leichten Verletzungen Eintrag in Meldeblock vornehmen. Bei schweren Verletzungen </w:t>
            </w:r>
            <w:r w:rsidR="00513791" w:rsidRPr="003632EA">
              <w:rPr>
                <w:rFonts w:ascii="Calibri" w:hAnsi="Calibri"/>
                <w:sz w:val="20"/>
                <w:szCs w:val="20"/>
              </w:rPr>
              <w:t>Unfallanzeige ausfüllen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>.</w:t>
            </w:r>
            <w:r w:rsidR="0055111B" w:rsidRPr="003632E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3632EA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3632EA" w:rsidRDefault="00175C00" w:rsidP="00175C00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6BF4E39C" w14:textId="62868BC0" w:rsidR="00803261" w:rsidRPr="003632EA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3632EA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3632EA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3632E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3632EA" w:rsidRDefault="00803261" w:rsidP="00803261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476056B2" w14:textId="299B2B71" w:rsidR="00803261" w:rsidRPr="003632EA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5EAB464" w14:textId="77777777" w:rsidR="00803261" w:rsidRPr="003632EA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3632EA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14:paraId="225824AB" w14:textId="77777777" w:rsidR="00803261" w:rsidRPr="003632EA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3632EA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66291C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3632EA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3632EA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3632EA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1E7D76" w:rsidRPr="006838B1" w14:paraId="5400A7A2" w14:textId="77777777" w:rsidTr="00CD74C2">
        <w:tc>
          <w:tcPr>
            <w:tcW w:w="10206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DB7A1B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DB7A1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Sachgerecht</w:t>
            </w:r>
            <w:r w:rsidR="004E663C" w:rsidRPr="00DB7A1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DB7A1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Entsorgung</w:t>
            </w:r>
          </w:p>
        </w:tc>
      </w:tr>
      <w:tr w:rsidR="004E663C" w:rsidRPr="006838B1" w14:paraId="741F2573" w14:textId="77777777" w:rsidTr="00CD74C2">
        <w:trPr>
          <w:trHeight w:val="7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69A2B37F" w14:textId="4363B584" w:rsidR="00FA4F89" w:rsidRPr="00DB7A1B" w:rsidRDefault="00DB7A1B" w:rsidP="00854891">
            <w:pPr>
              <w:pStyle w:val="Listenabsatz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Mit</w:t>
            </w:r>
            <w:r w:rsidR="00FA4F89" w:rsidRPr="00DB7A1B">
              <w:rPr>
                <w:rFonts w:ascii="Calibri" w:hAnsi="Calibri"/>
                <w:sz w:val="20"/>
                <w:szCs w:val="20"/>
              </w:rPr>
              <w:t xml:space="preserve"> dem Entsorgungszentrum der TU Kontakt aufnehmen, Tel.: 24700.</w:t>
            </w:r>
          </w:p>
          <w:p w14:paraId="5BBBD7C5" w14:textId="77777777" w:rsidR="00FA4F89" w:rsidRPr="00DB7A1B" w:rsidRDefault="00FA4F89" w:rsidP="00FA4F89">
            <w:pPr>
              <w:pStyle w:val="Listenabsatz"/>
              <w:ind w:left="1069"/>
              <w:rPr>
                <w:rFonts w:ascii="Calibri" w:hAnsi="Calibri"/>
                <w:sz w:val="20"/>
                <w:szCs w:val="20"/>
              </w:rPr>
            </w:pPr>
          </w:p>
          <w:p w14:paraId="06513306" w14:textId="38E8F2EA" w:rsidR="00FA4F89" w:rsidRPr="00DB7A1B" w:rsidRDefault="00FA4F89" w:rsidP="00FA4F89">
            <w:pPr>
              <w:pStyle w:val="Listenabsatz"/>
              <w:ind w:left="1069"/>
              <w:rPr>
                <w:rFonts w:ascii="Calibri" w:hAnsi="Calibri"/>
                <w:sz w:val="20"/>
                <w:szCs w:val="20"/>
              </w:rPr>
            </w:pPr>
          </w:p>
        </w:tc>
      </w:tr>
      <w:tr w:rsidR="005614C2" w:rsidRPr="006838B1" w14:paraId="21A43B41" w14:textId="77777777" w:rsidTr="00CD74C2">
        <w:trPr>
          <w:trHeight w:val="4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43F1EF1D" w:rsidR="004E663C" w:rsidRPr="003632EA" w:rsidRDefault="005D6284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Datum:</w:t>
            </w:r>
          </w:p>
        </w:tc>
        <w:tc>
          <w:tcPr>
            <w:tcW w:w="4262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3632EA" w:rsidRDefault="004E663C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4A9427DB" w:rsidR="004E663C" w:rsidRPr="003632EA" w:rsidRDefault="005D6284" w:rsidP="00DB6A14">
            <w:pPr>
              <w:rPr>
                <w:rFonts w:ascii="Calibri" w:hAnsi="Calibri"/>
                <w:sz w:val="20"/>
                <w:szCs w:val="20"/>
              </w:rPr>
            </w:pPr>
            <w:r w:rsidRPr="003632EA"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179F5E40" w14:textId="57EF8B40" w:rsidR="00CD6C96" w:rsidRPr="00CD6C96" w:rsidRDefault="00CD6C96" w:rsidP="00CD6C96">
      <w:pPr>
        <w:tabs>
          <w:tab w:val="left" w:pos="846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CD6C96" w:rsidRPr="00CD6C96" w:rsidSect="00BA692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14BD9F97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r w:rsidR="0055111B">
      <w:rPr>
        <w:sz w:val="16"/>
        <w:szCs w:val="16"/>
      </w:rPr>
      <w:tab/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 xml:space="preserve">, V. Reis </w:t>
    </w:r>
    <w:r w:rsidR="00CD6C96">
      <w:rPr>
        <w:sz w:val="16"/>
        <w:szCs w:val="16"/>
      </w:rPr>
      <w:t>Juni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D74B9"/>
    <w:multiLevelType w:val="hybridMultilevel"/>
    <w:tmpl w:val="19D0A816"/>
    <w:lvl w:ilvl="0" w:tplc="13C4B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E7349"/>
    <w:multiLevelType w:val="hybridMultilevel"/>
    <w:tmpl w:val="EF6EFFA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8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54EA6"/>
    <w:rsid w:val="000A001D"/>
    <w:rsid w:val="000E223E"/>
    <w:rsid w:val="001024A2"/>
    <w:rsid w:val="0012459F"/>
    <w:rsid w:val="001349B5"/>
    <w:rsid w:val="00175C00"/>
    <w:rsid w:val="001A6ECC"/>
    <w:rsid w:val="001E7D76"/>
    <w:rsid w:val="003632EA"/>
    <w:rsid w:val="00366ED2"/>
    <w:rsid w:val="003B5855"/>
    <w:rsid w:val="003B7B55"/>
    <w:rsid w:val="003D2BAC"/>
    <w:rsid w:val="0040496A"/>
    <w:rsid w:val="004249D5"/>
    <w:rsid w:val="00445E29"/>
    <w:rsid w:val="004E663C"/>
    <w:rsid w:val="00513791"/>
    <w:rsid w:val="00521930"/>
    <w:rsid w:val="00537035"/>
    <w:rsid w:val="0055111B"/>
    <w:rsid w:val="005614C2"/>
    <w:rsid w:val="00563529"/>
    <w:rsid w:val="005907D4"/>
    <w:rsid w:val="005A7C92"/>
    <w:rsid w:val="005D6284"/>
    <w:rsid w:val="005F4203"/>
    <w:rsid w:val="0066291C"/>
    <w:rsid w:val="006838B1"/>
    <w:rsid w:val="006A3237"/>
    <w:rsid w:val="006B5D28"/>
    <w:rsid w:val="006B7489"/>
    <w:rsid w:val="0070530A"/>
    <w:rsid w:val="00792657"/>
    <w:rsid w:val="007B3126"/>
    <w:rsid w:val="007C0288"/>
    <w:rsid w:val="007E0B99"/>
    <w:rsid w:val="007F3C2A"/>
    <w:rsid w:val="00803261"/>
    <w:rsid w:val="008170FC"/>
    <w:rsid w:val="00830BA0"/>
    <w:rsid w:val="00854891"/>
    <w:rsid w:val="008629E0"/>
    <w:rsid w:val="00883EB9"/>
    <w:rsid w:val="008A006A"/>
    <w:rsid w:val="008D6FC5"/>
    <w:rsid w:val="0095541B"/>
    <w:rsid w:val="009A5C22"/>
    <w:rsid w:val="00A42B28"/>
    <w:rsid w:val="00A53783"/>
    <w:rsid w:val="00A86FAE"/>
    <w:rsid w:val="00B053D0"/>
    <w:rsid w:val="00B10FBC"/>
    <w:rsid w:val="00B240DC"/>
    <w:rsid w:val="00B2449D"/>
    <w:rsid w:val="00B730A6"/>
    <w:rsid w:val="00B83BF7"/>
    <w:rsid w:val="00BA6923"/>
    <w:rsid w:val="00BC748B"/>
    <w:rsid w:val="00CB48F4"/>
    <w:rsid w:val="00CC26C9"/>
    <w:rsid w:val="00CD6C96"/>
    <w:rsid w:val="00CD74C2"/>
    <w:rsid w:val="00D14EFB"/>
    <w:rsid w:val="00DB6A14"/>
    <w:rsid w:val="00DB7A1B"/>
    <w:rsid w:val="00DD2AC5"/>
    <w:rsid w:val="00E10B3B"/>
    <w:rsid w:val="00E206A8"/>
    <w:rsid w:val="00E20F4B"/>
    <w:rsid w:val="00E2600A"/>
    <w:rsid w:val="00E7698D"/>
    <w:rsid w:val="00E8677A"/>
    <w:rsid w:val="00EA39ED"/>
    <w:rsid w:val="00EA74C5"/>
    <w:rsid w:val="00EE74B5"/>
    <w:rsid w:val="00F44C57"/>
    <w:rsid w:val="00F50794"/>
    <w:rsid w:val="00F50C9D"/>
    <w:rsid w:val="00F62823"/>
    <w:rsid w:val="00F67C0A"/>
    <w:rsid w:val="00FA4F89"/>
    <w:rsid w:val="00FB58A3"/>
    <w:rsid w:val="00FC373B"/>
    <w:rsid w:val="00F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  <w:style w:type="paragraph" w:customStyle="1" w:styleId="Default">
    <w:name w:val="Default"/>
    <w:rsid w:val="00E7698D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5</cp:revision>
  <dcterms:created xsi:type="dcterms:W3CDTF">2020-06-08T14:24:00Z</dcterms:created>
  <dcterms:modified xsi:type="dcterms:W3CDTF">2020-06-08T15:13:00Z</dcterms:modified>
</cp:coreProperties>
</file>