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63"/>
        <w:gridCol w:w="1481"/>
        <w:gridCol w:w="599"/>
        <w:gridCol w:w="3370"/>
        <w:gridCol w:w="561"/>
        <w:gridCol w:w="709"/>
        <w:gridCol w:w="1276"/>
        <w:gridCol w:w="1057"/>
      </w:tblGrid>
      <w:tr w:rsidR="001C2FF7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3734476" w:rsidR="00366ED2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6CC0C726" w14:textId="77777777" w:rsidR="00B77DEA" w:rsidRPr="006838B1" w:rsidRDefault="00B77DEA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357B604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8E4299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8E4299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47A15DF" w:rsidR="00366ED2" w:rsidRPr="001C58AA" w:rsidRDefault="001C58AA" w:rsidP="00B77DEA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Sauerstoff, verdichtet (O</w:t>
            </w:r>
            <w:r>
              <w:rPr>
                <w:rFonts w:ascii="Calibri" w:hAnsi="Calibr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</w:tr>
      <w:tr w:rsidR="008E4299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1C2FF7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446328E4" w:rsidR="007E0B99" w:rsidRPr="007E0B99" w:rsidRDefault="008E4299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B24943D" wp14:editId="3EAE9586">
                  <wp:extent cx="534389" cy="5343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7" cy="54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4368530" w14:textId="77777777" w:rsidR="00853833" w:rsidRDefault="001C58AA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C58AA">
              <w:rPr>
                <w:rFonts w:ascii="Calibri" w:hAnsi="Calibri"/>
                <w:sz w:val="18"/>
                <w:szCs w:val="18"/>
              </w:rPr>
              <w:t>Kann Brand verursachen oder verstärken; Oxidationsmittel.</w:t>
            </w:r>
          </w:p>
          <w:p w14:paraId="5F428268" w14:textId="77777777" w:rsidR="001C58AA" w:rsidRDefault="001C58AA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C58AA">
              <w:rPr>
                <w:rFonts w:ascii="Calibri" w:hAnsi="Calibri"/>
                <w:sz w:val="18"/>
                <w:szCs w:val="18"/>
              </w:rPr>
              <w:t>Gas unter Druck; kann bei Erwärmung explodieren.</w:t>
            </w:r>
          </w:p>
          <w:p w14:paraId="2B45B254" w14:textId="37E5A0A6" w:rsidR="006D261E" w:rsidRPr="006D261E" w:rsidRDefault="006D261E" w:rsidP="006D261E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D261E">
              <w:rPr>
                <w:rFonts w:ascii="Calibri" w:hAnsi="Calibri"/>
                <w:sz w:val="18"/>
                <w:szCs w:val="18"/>
              </w:rPr>
              <w:t>Es besteht die Gefahr einer schlagartig einsetzenden Selbstentzündung von Ölen, Fetten und sauerstoffdurchtränkter Kleidung.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CEA2E18" w:rsidR="00A53783" w:rsidRPr="00A53783" w:rsidRDefault="008E4299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F72A0E" wp14:editId="3E652BC3">
                  <wp:extent cx="534035" cy="53403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57" cy="57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99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1C2FF7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CCEC67F" w14:textId="77777777" w:rsidR="008E4299" w:rsidRDefault="008E4299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378314D9" w14:textId="4AAAFD76" w:rsidR="00E2600A" w:rsidRDefault="008E4299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45A05A7" wp14:editId="1D0FD43C">
                  <wp:extent cx="526415" cy="529062"/>
                  <wp:effectExtent l="0" t="0" r="698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20" cy="64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A7229" w14:textId="77777777" w:rsidR="008E4299" w:rsidRDefault="008E4299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2A09370B" w14:textId="04AE708A" w:rsidR="005C74A7" w:rsidRDefault="008E4299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B14DA51" wp14:editId="2EBD041D">
                  <wp:extent cx="537625" cy="54032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25" cy="72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25925" w14:textId="45E2A808" w:rsidR="00F001A6" w:rsidRPr="00E2600A" w:rsidRDefault="00F001A6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0F1A4E6" w14:textId="7290AB50" w:rsidR="00B3705D" w:rsidRDefault="00B3705D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3705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Umgang mit Druckgasflaschen nur unterwiesenen Personen gestatten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3090869" w14:textId="09BE3929" w:rsidR="00B3705D" w:rsidRDefault="00B3705D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3705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Beim Umgang mit dem Behälter Arbeitshandschuhe</w:t>
            </w:r>
            <w:r w:rsidR="00CF4A3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Sicherheitsschuhe</w:t>
            </w:r>
            <w:r w:rsidRPr="00B3705D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trage</w:t>
            </w:r>
            <w:r w:rsidR="00CF4A3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n.</w:t>
            </w:r>
          </w:p>
          <w:p w14:paraId="412CD18D" w14:textId="0F837379" w:rsidR="001C58AA" w:rsidRDefault="001C58AA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C58A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Von Kleidung und anderen brennbaren Materialien fernhalten.  </w:t>
            </w:r>
          </w:p>
          <w:p w14:paraId="30214246" w14:textId="77777777" w:rsidR="00505282" w:rsidRDefault="001C58AA" w:rsidP="0050528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C58A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Ventile und Ausrüstungsteile öl- und fettfrei halten.  </w:t>
            </w:r>
          </w:p>
          <w:p w14:paraId="5DF3D159" w14:textId="73D2ED61" w:rsidR="00096A27" w:rsidRDefault="00096A27" w:rsidP="00D558B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96A2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Druckgasflaschen vor Erwärmung durch Heizkörper, offene Flammen oder starke Sonneneinstrahlung schützen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Berstgefahr</w:t>
            </w:r>
            <w:proofErr w:type="spellEnd"/>
            <w:r w:rsidR="00027E7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</w:t>
            </w:r>
          </w:p>
          <w:p w14:paraId="4FF30B6B" w14:textId="738C06F5" w:rsidR="00096A27" w:rsidRDefault="00096A27" w:rsidP="00D558B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96A2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Flaschen zur Gasentnahme nicht legen - Vereisungsgefahr</w:t>
            </w:r>
          </w:p>
          <w:p w14:paraId="5BB1BD28" w14:textId="77A354A4" w:rsidR="00D558B0" w:rsidRDefault="00D558B0" w:rsidP="00D558B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558B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Flaschenventile langsam, nicht ruckweise öffnen, auf Dichtigkeit der Anschlüsse achten.</w:t>
            </w:r>
          </w:p>
          <w:p w14:paraId="0D5E9B09" w14:textId="70DA908F" w:rsidR="00096A27" w:rsidRPr="00096A27" w:rsidRDefault="00096A27" w:rsidP="00096A2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96A2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Sauerstoffflaschen nur in gut belüfteten Bereichen verwenden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B6183EE" w14:textId="6B71F205" w:rsidR="00D558B0" w:rsidRPr="00D558B0" w:rsidRDefault="00D558B0" w:rsidP="00D558B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Flaschen gegen Umfallen sichern</w:t>
            </w:r>
          </w:p>
          <w:p w14:paraId="213216AB" w14:textId="229B9C1F" w:rsidR="00570769" w:rsidRDefault="00570769" w:rsidP="00096A2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5707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Nach abgeschlossener Entnahme sofort Flaschenventil schließen und Schutzkappe aufschrauben. Nach </w:t>
            </w:r>
            <w:proofErr w:type="spellStart"/>
            <w:r w:rsidRPr="005707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Arbeitsschluss</w:t>
            </w:r>
            <w:proofErr w:type="spellEnd"/>
            <w:r w:rsidRPr="005707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Druckgasflasche zurück in den hierfür vorgesehenen Lagerraum bringen.</w:t>
            </w:r>
          </w:p>
          <w:p w14:paraId="660BEC00" w14:textId="7498B3AE" w:rsidR="00D558B0" w:rsidRPr="00096A27" w:rsidRDefault="00096A27" w:rsidP="00096A27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Flaschen im Gasflaschenschrank mit guter Belüftung </w:t>
            </w:r>
            <w:r w:rsidR="00D558B0" w:rsidRPr="001C58A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aufbewahren</w:t>
            </w:r>
            <w:r w:rsidR="00D558B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1C2FF7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1C2FF7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E9449F4" w14:textId="77777777" w:rsidR="001C2FF7" w:rsidRDefault="001C2FF7" w:rsidP="00DB6A14">
            <w:pPr>
              <w:rPr>
                <w:rFonts w:ascii="Calibri" w:hAnsi="Calibri"/>
              </w:rPr>
            </w:pPr>
          </w:p>
          <w:p w14:paraId="753172AF" w14:textId="5309EB4A" w:rsidR="00366ED2" w:rsidRPr="006838B1" w:rsidRDefault="001C2FF7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16247BA2" wp14:editId="26394BFC">
                  <wp:extent cx="538442" cy="5357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14" cy="57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1AFFD21" w14:textId="31A6D900" w:rsidR="000D3F84" w:rsidRPr="000D3F84" w:rsidRDefault="000D3F84" w:rsidP="000D3F84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r w:rsidRPr="000D3F84">
              <w:rPr>
                <w:rFonts w:ascii="Calibri" w:hAnsi="Calibri" w:cs="Arial"/>
                <w:sz w:val="18"/>
                <w:szCs w:val="18"/>
              </w:rPr>
              <w:t>Bei Verschütteten Flüssigkeiten, diese mit flüssigkeitsbindenden Materialien (Sand, Kieselgur, Universalbinde</w:t>
            </w:r>
            <w:r w:rsidR="00B70A74">
              <w:rPr>
                <w:rFonts w:ascii="Calibri" w:hAnsi="Calibri" w:cs="Arial"/>
                <w:sz w:val="18"/>
                <w:szCs w:val="18"/>
              </w:rPr>
              <w:t>r</w:t>
            </w:r>
            <w:r w:rsidRPr="000D3F84">
              <w:rPr>
                <w:rFonts w:ascii="Calibri" w:hAnsi="Calibri" w:cs="Arial"/>
                <w:sz w:val="18"/>
                <w:szCs w:val="18"/>
              </w:rPr>
              <w:t xml:space="preserve">) aufnehmen. </w:t>
            </w:r>
          </w:p>
          <w:p w14:paraId="5B36798F" w14:textId="356F161C" w:rsidR="00E20F4B" w:rsidRPr="00FE2D69" w:rsidRDefault="00DD2AC5" w:rsidP="00BA6E6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Geeignete Löschmittel: </w:t>
            </w:r>
            <w:r w:rsidR="00FE2D69" w:rsidRPr="00FE2D69">
              <w:rPr>
                <w:rFonts w:ascii="Calibri" w:hAnsi="Calibri" w:cs="Arial"/>
                <w:sz w:val="18"/>
                <w:szCs w:val="18"/>
              </w:rPr>
              <w:t>Löschmaßnahmen auf die Umgebung abstimmen.</w:t>
            </w:r>
          </w:p>
          <w:p w14:paraId="45F4E601" w14:textId="034D4E77" w:rsidR="000D3F84" w:rsidRPr="00D558B0" w:rsidRDefault="00DD2AC5" w:rsidP="00D558B0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>Brandbekämpfung:</w:t>
            </w:r>
            <w:r w:rsidR="00FB58A3"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Nur Entstehungsbrände selbst löschen (Selbstschutz beachten)</w:t>
            </w:r>
            <w:r w:rsidR="00C063E9">
              <w:rPr>
                <w:rFonts w:ascii="Calibri" w:hAnsi="Calibri" w:cs="Arial"/>
                <w:sz w:val="18"/>
                <w:szCs w:val="18"/>
              </w:rPr>
              <w:t>, wenn möglich Druckgasbehälter aus der Brandzone entfernen</w:t>
            </w:r>
            <w:r w:rsidR="00D558B0">
              <w:rPr>
                <w:rFonts w:ascii="Calibri" w:hAnsi="Calibri" w:cs="Arial"/>
                <w:sz w:val="18"/>
                <w:szCs w:val="18"/>
              </w:rPr>
              <w:t xml:space="preserve"> oder Undichtigkeit beseitigen – sonst sofort </w:t>
            </w:r>
            <w:r w:rsidR="001C58AA">
              <w:rPr>
                <w:rFonts w:ascii="Calibri" w:hAnsi="Calibri" w:cs="Arial"/>
                <w:sz w:val="18"/>
                <w:szCs w:val="18"/>
              </w:rPr>
              <w:t>Raum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verlassen, Nachbarbereiche warnen und Feuerwehr rufen</w:t>
            </w:r>
            <w:r w:rsidR="00F065FE" w:rsidRPr="00BA6E6C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C426087" w14:textId="03040AC2" w:rsidR="00D558B0" w:rsidRPr="00D558B0" w:rsidRDefault="00D558B0" w:rsidP="00D558B0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Besondere Gefahren bei Brand: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Berstgefahr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!</w:t>
            </w:r>
          </w:p>
        </w:tc>
      </w:tr>
      <w:tr w:rsidR="001C2FF7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1C2FF7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74B8DB2" w14:textId="2E82E877" w:rsidR="000D3F84" w:rsidRPr="000D3F84" w:rsidRDefault="000D3F84" w:rsidP="000D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D3F84">
              <w:rPr>
                <w:rFonts w:ascii="Calibri" w:hAnsi="Calibri"/>
                <w:b/>
                <w:bCs/>
                <w:sz w:val="18"/>
                <w:szCs w:val="18"/>
              </w:rPr>
              <w:t>Bei allen Erste-Hilfe-Maßnahmen Selbstschutz beachten.</w:t>
            </w:r>
          </w:p>
          <w:p w14:paraId="7698E71D" w14:textId="3522929E" w:rsidR="00E20F4B" w:rsidRPr="00570769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570769" w:rsidRPr="00570769">
              <w:rPr>
                <w:rFonts w:ascii="Calibri" w:hAnsi="Calibri"/>
                <w:sz w:val="18"/>
                <w:szCs w:val="18"/>
              </w:rPr>
              <w:t>Den Betroffenen sofort an die frische Luft bringen</w:t>
            </w:r>
            <w:r w:rsidR="00570769" w:rsidRPr="00570769">
              <w:rPr>
                <w:rFonts w:ascii="Calibri" w:hAnsi="Calibri"/>
                <w:sz w:val="18"/>
                <w:szCs w:val="18"/>
              </w:rPr>
              <w:t>.</w:t>
            </w:r>
          </w:p>
          <w:p w14:paraId="6E6D9570" w14:textId="7CC3B1B9" w:rsidR="0026443B" w:rsidRPr="00505282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Hautkontakt: </w:t>
            </w:r>
            <w:r w:rsidR="00570769" w:rsidRPr="00570769">
              <w:rPr>
                <w:rFonts w:ascii="Calibri" w:hAnsi="Calibri"/>
                <w:sz w:val="18"/>
                <w:szCs w:val="18"/>
              </w:rPr>
              <w:t>Beeinträchtigungen sind nicht zu erwarten.</w:t>
            </w:r>
          </w:p>
          <w:p w14:paraId="66F1B181" w14:textId="1656DF65" w:rsidR="0026443B" w:rsidRPr="00502050" w:rsidRDefault="0026443B" w:rsidP="00502050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502050">
              <w:rPr>
                <w:sz w:val="18"/>
                <w:szCs w:val="18"/>
              </w:rPr>
              <w:t xml:space="preserve"> </w:t>
            </w:r>
            <w:r w:rsidR="00570769" w:rsidRPr="00570769">
              <w:rPr>
                <w:sz w:val="18"/>
                <w:szCs w:val="18"/>
              </w:rPr>
              <w:t>Beeinträchtigungen sind nicht zu erwarten.</w:t>
            </w:r>
          </w:p>
          <w:p w14:paraId="67420CE0" w14:textId="6C7AE929" w:rsidR="00803261" w:rsidRPr="00502050" w:rsidRDefault="0026443B" w:rsidP="00A40D7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Verschlucken:</w:t>
            </w:r>
            <w:r w:rsidRPr="00502050">
              <w:rPr>
                <w:sz w:val="18"/>
                <w:szCs w:val="18"/>
              </w:rPr>
              <w:t xml:space="preserve"> </w:t>
            </w:r>
            <w:r w:rsidR="00570769" w:rsidRPr="00570769">
              <w:rPr>
                <w:sz w:val="18"/>
                <w:szCs w:val="18"/>
              </w:rPr>
              <w:t>Verschlucken wird nicht als möglicher Weg der Exposition angesehen.</w:t>
            </w:r>
          </w:p>
          <w:p w14:paraId="58FB0EAF" w14:textId="77777777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0BB2A539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schweren Verletzungen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 xml:space="preserve"> Notarzt rufen,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3791" w:rsidRPr="00853833">
              <w:rPr>
                <w:rFonts w:ascii="Calibri" w:hAnsi="Calibri"/>
                <w:sz w:val="18"/>
                <w:szCs w:val="18"/>
              </w:rPr>
              <w:t>Unfallanzeige ausfüllen</w:t>
            </w:r>
            <w:r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9B92DAA" w14:textId="5F7940A4" w:rsidR="00175C00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853833" w:rsidRDefault="00175C00" w:rsidP="00175C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853833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803261" w:rsidRPr="0085383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36F28407" w:rsidR="00803261" w:rsidRPr="00853833" w:rsidRDefault="00BA6E6C" w:rsidP="00BA6E6C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85383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4389861F" w:rsidR="00803261" w:rsidRPr="00853833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="00BA6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27D10D51" w:rsidR="00803261" w:rsidRPr="00853833" w:rsidRDefault="00BA6E6C" w:rsidP="00BA6E6C">
            <w:pPr>
              <w:tabs>
                <w:tab w:val="left" w:pos="1301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8E4299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5E1C1910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8E4299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0E4B4609" w:rsidR="007E0B99" w:rsidRPr="00853833" w:rsidRDefault="0057076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570769">
              <w:rPr>
                <w:rFonts w:ascii="Calibri" w:hAnsi="Calibri"/>
                <w:sz w:val="18"/>
                <w:szCs w:val="18"/>
              </w:rPr>
              <w:t xml:space="preserve">Druckgasflaschen innerhalb der vorgeschriebenen Prüffrist mit Restdruck an den Lieferanten zurückgeben. Entsorgung nach Absprache mit dem Entsorgungszentrum </w:t>
            </w:r>
            <w:r w:rsidR="007E0B99" w:rsidRPr="00853833">
              <w:rPr>
                <w:rFonts w:ascii="Calibri" w:hAnsi="Calibri"/>
                <w:sz w:val="18"/>
                <w:szCs w:val="18"/>
              </w:rPr>
              <w:t>der TU Kontakt, Tel.: 24700.</w:t>
            </w:r>
          </w:p>
          <w:p w14:paraId="6563728E" w14:textId="78CA8442" w:rsidR="00175C00" w:rsidRDefault="00175C00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C40D2A3" w14:textId="77777777" w:rsidR="00570769" w:rsidRPr="00853833" w:rsidRDefault="0057076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7E0B99" w:rsidRPr="00853833" w:rsidRDefault="007E0B9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1C2FF7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853833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853833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10BD0411" w14:textId="50CC17D8" w:rsidR="00CA4724" w:rsidRPr="00CA4724" w:rsidRDefault="00393B06" w:rsidP="009F2383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EB6873A" w14:textId="1B6EAAAB" w:rsidR="00CA4724" w:rsidRPr="00CA4724" w:rsidRDefault="00CA4724" w:rsidP="00CA4724">
      <w:pPr>
        <w:tabs>
          <w:tab w:val="left" w:pos="865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A4724" w:rsidRPr="00CA4724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79FD27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 xml:space="preserve">s </w:t>
    </w:r>
    <w:r w:rsidR="00CA4724">
      <w:rPr>
        <w:sz w:val="16"/>
        <w:szCs w:val="16"/>
      </w:rPr>
      <w:t>September</w:t>
    </w:r>
    <w:r w:rsidR="00DD13BA">
      <w:rPr>
        <w:sz w:val="16"/>
        <w:szCs w:val="16"/>
      </w:rPr>
      <w:t xml:space="preserve"> 2020</w:t>
    </w:r>
    <w:r w:rsidR="00513791">
      <w:rPr>
        <w:sz w:val="16"/>
        <w:szCs w:val="16"/>
      </w:rPr>
      <w:t>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7AAEF63E"/>
    <w:lvl w:ilvl="0" w:tplc="38FE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27E70"/>
    <w:rsid w:val="00081B24"/>
    <w:rsid w:val="00096A27"/>
    <w:rsid w:val="000D3F84"/>
    <w:rsid w:val="000E223E"/>
    <w:rsid w:val="0012459F"/>
    <w:rsid w:val="00175C00"/>
    <w:rsid w:val="001A6ECC"/>
    <w:rsid w:val="001C2FF7"/>
    <w:rsid w:val="001C58AA"/>
    <w:rsid w:val="001D4E68"/>
    <w:rsid w:val="001D7579"/>
    <w:rsid w:val="0026443B"/>
    <w:rsid w:val="00366ED2"/>
    <w:rsid w:val="00372194"/>
    <w:rsid w:val="00393B06"/>
    <w:rsid w:val="003C3632"/>
    <w:rsid w:val="004249D5"/>
    <w:rsid w:val="004334C8"/>
    <w:rsid w:val="004E663C"/>
    <w:rsid w:val="00502050"/>
    <w:rsid w:val="00505282"/>
    <w:rsid w:val="00513791"/>
    <w:rsid w:val="00515B1F"/>
    <w:rsid w:val="00537035"/>
    <w:rsid w:val="00570769"/>
    <w:rsid w:val="00585FD0"/>
    <w:rsid w:val="005A7C92"/>
    <w:rsid w:val="005C74A7"/>
    <w:rsid w:val="006838B1"/>
    <w:rsid w:val="006A3237"/>
    <w:rsid w:val="006D261E"/>
    <w:rsid w:val="0070530A"/>
    <w:rsid w:val="007539B1"/>
    <w:rsid w:val="00792657"/>
    <w:rsid w:val="007B3126"/>
    <w:rsid w:val="007C0288"/>
    <w:rsid w:val="007E0B99"/>
    <w:rsid w:val="00802798"/>
    <w:rsid w:val="00803261"/>
    <w:rsid w:val="008245D9"/>
    <w:rsid w:val="00830BA0"/>
    <w:rsid w:val="00853833"/>
    <w:rsid w:val="008629E0"/>
    <w:rsid w:val="00892003"/>
    <w:rsid w:val="008A006A"/>
    <w:rsid w:val="008D6FC5"/>
    <w:rsid w:val="008E4299"/>
    <w:rsid w:val="009F2383"/>
    <w:rsid w:val="00A2012E"/>
    <w:rsid w:val="00A53783"/>
    <w:rsid w:val="00B10FBC"/>
    <w:rsid w:val="00B2449D"/>
    <w:rsid w:val="00B2582A"/>
    <w:rsid w:val="00B3705D"/>
    <w:rsid w:val="00B70A74"/>
    <w:rsid w:val="00B77DEA"/>
    <w:rsid w:val="00BA6923"/>
    <w:rsid w:val="00BA6E6C"/>
    <w:rsid w:val="00BC748B"/>
    <w:rsid w:val="00C063E9"/>
    <w:rsid w:val="00CA4724"/>
    <w:rsid w:val="00CB48F4"/>
    <w:rsid w:val="00CC26C9"/>
    <w:rsid w:val="00CF4A34"/>
    <w:rsid w:val="00D459A8"/>
    <w:rsid w:val="00D558B0"/>
    <w:rsid w:val="00DB6A14"/>
    <w:rsid w:val="00DD13BA"/>
    <w:rsid w:val="00DD2AC5"/>
    <w:rsid w:val="00E206A8"/>
    <w:rsid w:val="00E20F4B"/>
    <w:rsid w:val="00E2600A"/>
    <w:rsid w:val="00E65D08"/>
    <w:rsid w:val="00EE74B5"/>
    <w:rsid w:val="00F001A6"/>
    <w:rsid w:val="00F065FE"/>
    <w:rsid w:val="00F37C1C"/>
    <w:rsid w:val="00F50794"/>
    <w:rsid w:val="00F76E7F"/>
    <w:rsid w:val="00FB58A3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2020-09-04T08:28:00Z</dcterms:created>
  <dcterms:modified xsi:type="dcterms:W3CDTF">2020-09-04T14:29:00Z</dcterms:modified>
</cp:coreProperties>
</file>