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25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77"/>
        <w:gridCol w:w="1500"/>
        <w:gridCol w:w="606"/>
        <w:gridCol w:w="3435"/>
        <w:gridCol w:w="570"/>
        <w:gridCol w:w="720"/>
        <w:gridCol w:w="1264"/>
        <w:gridCol w:w="25"/>
        <w:gridCol w:w="1062"/>
      </w:tblGrid>
      <w:tr w:rsidR="00003A8F" w:rsidRPr="006838B1" w14:paraId="0BDE8561" w14:textId="77777777" w:rsidTr="00003A8F">
        <w:trPr>
          <w:trHeight w:val="1171"/>
        </w:trPr>
        <w:tc>
          <w:tcPr>
            <w:tcW w:w="3201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56D8419A" w14:textId="77777777" w:rsidR="00E4764F" w:rsidRDefault="00E4764F" w:rsidP="00DB6A14">
            <w:pPr>
              <w:rPr>
                <w:rFonts w:ascii="Calibri" w:hAnsi="Calibri"/>
                <w:sz w:val="18"/>
                <w:szCs w:val="18"/>
              </w:rPr>
            </w:pPr>
          </w:p>
          <w:p w14:paraId="0FBDE3D6" w14:textId="7565A0D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4159A78F" w:rsidR="00E2600A" w:rsidRPr="00E4764F" w:rsidRDefault="00E4764F" w:rsidP="00DB6A14">
            <w:pPr>
              <w:rPr>
                <w:rFonts w:ascii="Calibri" w:hAnsi="Calibri"/>
                <w:sz w:val="18"/>
                <w:szCs w:val="18"/>
              </w:rPr>
            </w:pPr>
            <w:r w:rsidRPr="00E4764F">
              <w:rPr>
                <w:rFonts w:ascii="Calibri" w:hAnsi="Calibri"/>
                <w:sz w:val="18"/>
                <w:szCs w:val="18"/>
              </w:rPr>
              <w:t>Trocknung von Lösungsmitteln mit K/ Na im Labor</w:t>
            </w:r>
          </w:p>
        </w:tc>
        <w:tc>
          <w:tcPr>
            <w:tcW w:w="344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618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EF69D0">
        <w:trPr>
          <w:trHeight w:val="290"/>
        </w:trPr>
        <w:tc>
          <w:tcPr>
            <w:tcW w:w="10259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C611CE">
              <w:rPr>
                <w:rFonts w:ascii="Calibri" w:hAnsi="Calibri"/>
                <w:b/>
                <w:bCs/>
                <w:color w:val="FFFFFF" w:themeColor="background1"/>
              </w:rPr>
              <w:t>Gefahrstoffbezeichnung</w:t>
            </w:r>
          </w:p>
        </w:tc>
      </w:tr>
      <w:tr w:rsidR="0063200C" w:rsidRPr="006838B1" w14:paraId="6BF194D1" w14:textId="77777777" w:rsidTr="00EF69D0">
        <w:trPr>
          <w:trHeight w:val="580"/>
        </w:trPr>
        <w:tc>
          <w:tcPr>
            <w:tcW w:w="10259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0891C775" w14:textId="6B369683" w:rsidR="0063200C" w:rsidRPr="00EF69D0" w:rsidRDefault="00E4764F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EF69D0">
              <w:rPr>
                <w:rFonts w:asciiTheme="minorHAnsi" w:hAnsiTheme="minorHAnsi" w:cstheme="minorHAnsi"/>
                <w:sz w:val="22"/>
                <w:szCs w:val="22"/>
              </w:rPr>
              <w:t>Trocknung von Lösungsmitteln mit K</w:t>
            </w:r>
            <w:r w:rsidR="00EF69D0">
              <w:rPr>
                <w:rFonts w:asciiTheme="minorHAnsi" w:hAnsiTheme="minorHAnsi" w:cstheme="minorHAnsi"/>
                <w:sz w:val="22"/>
                <w:szCs w:val="22"/>
              </w:rPr>
              <w:t xml:space="preserve">alium / </w:t>
            </w:r>
            <w:r w:rsidRPr="00EF69D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EF69D0">
              <w:rPr>
                <w:rFonts w:asciiTheme="minorHAnsi" w:hAnsiTheme="minorHAnsi" w:cstheme="minorHAnsi"/>
                <w:sz w:val="22"/>
                <w:szCs w:val="22"/>
              </w:rPr>
              <w:t>trium</w:t>
            </w:r>
            <w:r w:rsidRPr="00EF69D0">
              <w:rPr>
                <w:rFonts w:asciiTheme="minorHAnsi" w:hAnsiTheme="minorHAnsi" w:cstheme="minorHAnsi"/>
                <w:sz w:val="22"/>
                <w:szCs w:val="22"/>
              </w:rPr>
              <w:t xml:space="preserve"> im Labor</w:t>
            </w:r>
          </w:p>
          <w:p w14:paraId="6F27FBBE" w14:textId="2EDAB7D5" w:rsidR="00154A11" w:rsidRPr="00EF69D0" w:rsidRDefault="00154A11" w:rsidP="00154A11">
            <w:pPr>
              <w:jc w:val="center"/>
              <w:rPr>
                <w:lang w:eastAsia="de-DE"/>
              </w:rPr>
            </w:pPr>
            <w:r w:rsidRPr="00EF69D0">
              <w:rPr>
                <w:lang w:eastAsia="de-DE"/>
              </w:rPr>
              <w:t>(</w:t>
            </w:r>
            <w:r w:rsidRPr="00EF69D0">
              <w:rPr>
                <w:lang w:eastAsia="de-DE"/>
              </w:rPr>
              <w:t>Betriebsanweisungen für Lösungsmittel und Alkalimetalle beachten)</w:t>
            </w:r>
          </w:p>
        </w:tc>
      </w:tr>
      <w:tr w:rsidR="0063200C" w:rsidRPr="006838B1" w14:paraId="13CD52CF" w14:textId="77777777" w:rsidTr="00EF69D0">
        <w:trPr>
          <w:trHeight w:val="290"/>
        </w:trPr>
        <w:tc>
          <w:tcPr>
            <w:tcW w:w="10259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C611CE">
              <w:rPr>
                <w:rFonts w:ascii="Calibri" w:hAnsi="Calibri"/>
                <w:b/>
                <w:bCs/>
                <w:color w:val="FFFFFF" w:themeColor="background1"/>
              </w:rPr>
              <w:t>Gefahren für Mensch und Umwelt</w:t>
            </w:r>
          </w:p>
        </w:tc>
      </w:tr>
      <w:tr w:rsidR="00003A8F" w:rsidRPr="006838B1" w14:paraId="3266990A" w14:textId="77777777" w:rsidTr="00003A8F">
        <w:trPr>
          <w:trHeight w:val="1223"/>
        </w:trPr>
        <w:tc>
          <w:tcPr>
            <w:tcW w:w="107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063F1A2D" w:rsidR="00154A11" w:rsidRPr="00154A11" w:rsidRDefault="00003A8F" w:rsidP="00154A11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3DDBE4B9" wp14:editId="2A415139">
                  <wp:extent cx="506839" cy="506839"/>
                  <wp:effectExtent l="0" t="0" r="7620" b="762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1" cy="53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38582354" w14:textId="03C0FD9C" w:rsidR="00017C6D" w:rsidRPr="00C611CE" w:rsidRDefault="00017C6D" w:rsidP="00017C6D">
            <w:pPr>
              <w:pStyle w:val="Listenabsatz"/>
              <w:numPr>
                <w:ilvl w:val="0"/>
                <w:numId w:val="11"/>
              </w:numPr>
              <w:rPr>
                <w:rFonts w:ascii="Calibri" w:hAnsi="Calibri"/>
                <w:sz w:val="16"/>
                <w:szCs w:val="16"/>
              </w:rPr>
            </w:pPr>
            <w:r w:rsidRPr="00C611CE">
              <w:rPr>
                <w:rFonts w:ascii="Calibri" w:hAnsi="Calibri"/>
                <w:sz w:val="16"/>
                <w:szCs w:val="16"/>
              </w:rPr>
              <w:t>Kalium bildet an Luft gelbe bis rote Krusten, die aus Peroxiden bestehen und beim Ansetzten des Messers explodieren können</w:t>
            </w:r>
            <w:r w:rsidRPr="00C611CE">
              <w:rPr>
                <w:rFonts w:ascii="Calibri" w:hAnsi="Calibri"/>
                <w:sz w:val="16"/>
                <w:szCs w:val="16"/>
              </w:rPr>
              <w:t>.</w:t>
            </w:r>
            <w:r w:rsidR="00C611CE" w:rsidRPr="00C611CE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="00C611CE" w:rsidRPr="00C611CE">
              <w:rPr>
                <w:rFonts w:ascii="Calibri" w:hAnsi="Calibri"/>
                <w:sz w:val="16"/>
                <w:szCs w:val="16"/>
              </w:rPr>
              <w:t>Kann</w:t>
            </w:r>
            <w:proofErr w:type="gramEnd"/>
            <w:r w:rsidR="00C611CE" w:rsidRPr="00C611CE">
              <w:rPr>
                <w:rFonts w:ascii="Calibri" w:hAnsi="Calibri"/>
                <w:sz w:val="16"/>
                <w:szCs w:val="16"/>
              </w:rPr>
              <w:t xml:space="preserve"> zu schweren Bränden und Explosionen führen.</w:t>
            </w:r>
          </w:p>
          <w:p w14:paraId="1EA1D033" w14:textId="176FD557" w:rsidR="00A62FB6" w:rsidRPr="00C611CE" w:rsidRDefault="000519D7" w:rsidP="000519D7">
            <w:pPr>
              <w:pStyle w:val="Listenabsatz"/>
              <w:numPr>
                <w:ilvl w:val="0"/>
                <w:numId w:val="11"/>
              </w:numPr>
              <w:ind w:right="-143"/>
              <w:rPr>
                <w:rFonts w:ascii="Calibri" w:hAnsi="Calibri"/>
                <w:sz w:val="16"/>
                <w:szCs w:val="16"/>
              </w:rPr>
            </w:pPr>
            <w:r w:rsidRPr="00C611CE">
              <w:rPr>
                <w:rFonts w:ascii="Calibri" w:hAnsi="Calibri"/>
                <w:sz w:val="16"/>
                <w:szCs w:val="16"/>
              </w:rPr>
              <w:t>Reagieren heftig mit Wasser.</w:t>
            </w:r>
            <w:r w:rsidR="00A6653E" w:rsidRPr="00C611CE">
              <w:rPr>
                <w:sz w:val="20"/>
                <w:szCs w:val="20"/>
              </w:rPr>
              <w:t xml:space="preserve"> </w:t>
            </w:r>
            <w:r w:rsidR="00154A11" w:rsidRPr="00C611CE">
              <w:rPr>
                <w:rFonts w:ascii="Calibri" w:hAnsi="Calibri"/>
                <w:sz w:val="16"/>
                <w:szCs w:val="16"/>
              </w:rPr>
              <w:t xml:space="preserve">Entstehung von spontan entzündlichen Gasen. </w:t>
            </w:r>
          </w:p>
          <w:p w14:paraId="43FAD89F" w14:textId="77777777" w:rsidR="00C611CE" w:rsidRPr="00C611CE" w:rsidRDefault="000519D7" w:rsidP="00C611CE">
            <w:pPr>
              <w:pStyle w:val="Listenabsatz"/>
              <w:numPr>
                <w:ilvl w:val="0"/>
                <w:numId w:val="11"/>
              </w:numPr>
              <w:ind w:right="-143"/>
              <w:rPr>
                <w:rFonts w:ascii="Calibri" w:hAnsi="Calibri"/>
                <w:sz w:val="16"/>
                <w:szCs w:val="16"/>
              </w:rPr>
            </w:pPr>
            <w:r w:rsidRPr="00C611CE">
              <w:rPr>
                <w:rFonts w:ascii="Calibri" w:hAnsi="Calibri"/>
                <w:sz w:val="16"/>
                <w:szCs w:val="16"/>
              </w:rPr>
              <w:t xml:space="preserve">Führen zu </w:t>
            </w:r>
            <w:r w:rsidRPr="00C611CE">
              <w:rPr>
                <w:rFonts w:ascii="Calibri" w:hAnsi="Calibri"/>
                <w:sz w:val="16"/>
                <w:szCs w:val="16"/>
              </w:rPr>
              <w:t>schweren Verbrennungen und Verätzungen</w:t>
            </w:r>
            <w:r w:rsidRPr="00C611CE">
              <w:rPr>
                <w:rFonts w:ascii="Calibri" w:hAnsi="Calibri"/>
                <w:sz w:val="16"/>
                <w:szCs w:val="16"/>
              </w:rPr>
              <w:t>.</w:t>
            </w:r>
            <w:r w:rsidR="00C611CE" w:rsidRPr="00C611C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2F801E6" w14:textId="33B1B85F" w:rsidR="00C611CE" w:rsidRPr="00C611CE" w:rsidRDefault="00C611CE" w:rsidP="00C611CE">
            <w:pPr>
              <w:pStyle w:val="Listenabsatz"/>
              <w:numPr>
                <w:ilvl w:val="0"/>
                <w:numId w:val="11"/>
              </w:numPr>
              <w:ind w:right="-143"/>
              <w:rPr>
                <w:rFonts w:ascii="Calibri" w:hAnsi="Calibri"/>
                <w:sz w:val="16"/>
                <w:szCs w:val="16"/>
              </w:rPr>
            </w:pPr>
            <w:r w:rsidRPr="00C611CE">
              <w:rPr>
                <w:rFonts w:ascii="Calibri" w:hAnsi="Calibri"/>
                <w:sz w:val="16"/>
                <w:szCs w:val="16"/>
              </w:rPr>
              <w:t>Bei Benetzung größerer Hautflächen besteht akute Lebensgefahr.</w:t>
            </w:r>
          </w:p>
          <w:p w14:paraId="2B45B254" w14:textId="0A4D6181" w:rsidR="00154A11" w:rsidRPr="00C611CE" w:rsidRDefault="000519D7" w:rsidP="00C611CE">
            <w:pPr>
              <w:pStyle w:val="Listenabsatz"/>
              <w:numPr>
                <w:ilvl w:val="0"/>
                <w:numId w:val="1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C611CE">
              <w:rPr>
                <w:rFonts w:ascii="Calibri" w:hAnsi="Calibri"/>
                <w:sz w:val="16"/>
                <w:szCs w:val="16"/>
              </w:rPr>
              <w:t>Inhalation kann zu Kopfschmerzen führen und narkotisierend wirken</w:t>
            </w:r>
            <w:r w:rsidRPr="00C611CE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019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17CB3DD3" w:rsidR="00A62FB6" w:rsidRPr="00A62FB6" w:rsidRDefault="00A62FB6" w:rsidP="0063200C">
            <w:pPr>
              <w:pStyle w:val="Listenabsatz"/>
              <w:ind w:left="0"/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0D98611C" wp14:editId="2F809678">
                  <wp:extent cx="537247" cy="537247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307" cy="543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00C" w:rsidRPr="006838B1" w14:paraId="052056E6" w14:textId="77777777" w:rsidTr="00EF69D0">
        <w:trPr>
          <w:trHeight w:val="279"/>
        </w:trPr>
        <w:tc>
          <w:tcPr>
            <w:tcW w:w="10259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611CE">
              <w:rPr>
                <w:rFonts w:ascii="Calibri" w:hAnsi="Calibri"/>
                <w:b/>
                <w:bCs/>
                <w:color w:val="FFFFFF" w:themeColor="background1"/>
              </w:rPr>
              <w:t>Schutzmaßnahmen und Verhaltensregeln</w:t>
            </w:r>
          </w:p>
        </w:tc>
      </w:tr>
      <w:tr w:rsidR="00003A8F" w:rsidRPr="006838B1" w14:paraId="7269A93E" w14:textId="77777777" w:rsidTr="00003A8F">
        <w:trPr>
          <w:trHeight w:val="2395"/>
        </w:trPr>
        <w:tc>
          <w:tcPr>
            <w:tcW w:w="107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2E354B2D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2ED2E7D5" w14:textId="47B6EF24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7777777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6CD47157" w:rsidR="003145BE" w:rsidRPr="00E2600A" w:rsidRDefault="0067439C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D0D0B32" wp14:editId="290FC526">
                  <wp:extent cx="491307" cy="493776"/>
                  <wp:effectExtent l="0" t="0" r="4445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16" cy="50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8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0CC07BEA" w14:textId="6EF3D66C" w:rsidR="00B10C91" w:rsidRPr="00C611CE" w:rsidRDefault="000519D7" w:rsidP="00B10C91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</w:pPr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Unter einem Abzug arbeiten.</w:t>
            </w:r>
          </w:p>
          <w:p w14:paraId="1B75E1FA" w14:textId="62FF985D" w:rsidR="000519D7" w:rsidRPr="00C611CE" w:rsidRDefault="00A6653E" w:rsidP="00B10C91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</w:pPr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 xml:space="preserve">Schutzhandschuhe aus </w:t>
            </w:r>
            <w:proofErr w:type="spellStart"/>
            <w:r w:rsidR="00154A11"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Viton</w:t>
            </w:r>
            <w:proofErr w:type="spellEnd"/>
            <w:r w:rsidR="00154A11"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 xml:space="preserve">, </w:t>
            </w:r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Schutzbrille und Laborkittel tragen.</w:t>
            </w:r>
          </w:p>
          <w:p w14:paraId="083E318A" w14:textId="42A8ED32" w:rsidR="00A6653E" w:rsidRPr="00C611CE" w:rsidRDefault="00017C6D" w:rsidP="00017C6D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</w:pPr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Auf größte Sauberkeit achten</w:t>
            </w:r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.</w:t>
            </w:r>
          </w:p>
          <w:p w14:paraId="59DC8183" w14:textId="25B33B33" w:rsidR="00017C6D" w:rsidRPr="00C611CE" w:rsidRDefault="00017C6D" w:rsidP="00C611C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</w:pPr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 xml:space="preserve">Die Trocknung </w:t>
            </w:r>
            <w:proofErr w:type="spellStart"/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muss</w:t>
            </w:r>
            <w:proofErr w:type="spellEnd"/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 xml:space="preserve"> einige Tage im Voraus geplant werden, da </w:t>
            </w:r>
            <w:proofErr w:type="spellStart"/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THF</w:t>
            </w:r>
            <w:proofErr w:type="spellEnd"/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 xml:space="preserve"> </w:t>
            </w:r>
            <w:r w:rsidR="00C611CE"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v</w:t>
            </w:r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 xml:space="preserve">orgetrocknet werden </w:t>
            </w:r>
            <w:proofErr w:type="spellStart"/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muss</w:t>
            </w:r>
            <w:proofErr w:type="spellEnd"/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 xml:space="preserve">. Dazu </w:t>
            </w:r>
            <w:proofErr w:type="spellStart"/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muss</w:t>
            </w:r>
            <w:proofErr w:type="spellEnd"/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 xml:space="preserve"> das </w:t>
            </w:r>
            <w:proofErr w:type="spellStart"/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THF</w:t>
            </w:r>
            <w:proofErr w:type="spellEnd"/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 xml:space="preserve"> einige Tage über Kaliumhydroxid stehengelassen werden. Zum Lagern und Vortrocknen von </w:t>
            </w:r>
            <w:proofErr w:type="spellStart"/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THF</w:t>
            </w:r>
            <w:proofErr w:type="spellEnd"/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 xml:space="preserve"> unbedingt eine braune Glasflasche verwenden. Vorgetrocknetes </w:t>
            </w:r>
            <w:proofErr w:type="spellStart"/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THF</w:t>
            </w:r>
            <w:proofErr w:type="spellEnd"/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 xml:space="preserve"> vorsichtig vom Kaliumhydroxid </w:t>
            </w:r>
            <w:proofErr w:type="spellStart"/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abdekantieren</w:t>
            </w:r>
            <w:proofErr w:type="spellEnd"/>
            <w:r w:rsidR="00C611CE"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.</w:t>
            </w:r>
          </w:p>
          <w:p w14:paraId="7B6172F3" w14:textId="705CFEAE" w:rsidR="00017C6D" w:rsidRPr="00C611CE" w:rsidRDefault="00017C6D" w:rsidP="00017C6D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</w:pPr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Krustenfreies (Farbe!) Kalium wird vorsichtig unter Paraffinöl in einer Porzellanschale mit einem scharfen Messer geschnitten</w:t>
            </w:r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.</w:t>
            </w:r>
          </w:p>
          <w:p w14:paraId="6483D7D9" w14:textId="22194DC2" w:rsidR="00017C6D" w:rsidRPr="00C611CE" w:rsidRDefault="00017C6D" w:rsidP="00017C6D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</w:pPr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Destillations- oder Umlaufapparatur nur unter Schutzgas betreiben, Kühlwasser nicht vergessen</w:t>
            </w:r>
            <w:r w:rsidR="00C611CE"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.</w:t>
            </w:r>
          </w:p>
          <w:p w14:paraId="5568E21A" w14:textId="753EAFE7" w:rsidR="00017C6D" w:rsidRPr="00C611CE" w:rsidRDefault="00017C6D" w:rsidP="00017C6D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</w:pPr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Niemals sämtliches Lösungsmittel abdestillieren</w:t>
            </w:r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.</w:t>
            </w:r>
          </w:p>
          <w:p w14:paraId="4C989078" w14:textId="13171F33" w:rsidR="00017C6D" w:rsidRPr="00017C6D" w:rsidRDefault="00A32615" w:rsidP="00017C6D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611CE">
              <w:rPr>
                <w:rFonts w:ascii="Calibri" w:eastAsia="Times New Roman" w:hAnsi="Calibri" w:cs="Times New Roman"/>
                <w:sz w:val="16"/>
                <w:szCs w:val="16"/>
                <w:lang w:eastAsia="de-DE"/>
              </w:rPr>
              <w:t>Produkte nicht in Oberflächengewässer, Kanalisation und das Grundwasser gelangen lassen.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ADE7D6" w14:textId="77777777" w:rsidR="003145BE" w:rsidRPr="003145BE" w:rsidRDefault="003145BE" w:rsidP="003145BE">
            <w:pPr>
              <w:rPr>
                <w:rFonts w:ascii="Calibri" w:eastAsia="Times New Roman" w:hAnsi="Calibri" w:cs="Times New Roman"/>
                <w:sz w:val="8"/>
                <w:szCs w:val="8"/>
                <w:lang w:eastAsia="de-DE"/>
              </w:rPr>
            </w:pPr>
          </w:p>
          <w:p w14:paraId="660BEC00" w14:textId="504DD33F" w:rsidR="003145BE" w:rsidRPr="003145BE" w:rsidRDefault="003145BE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70A978E" wp14:editId="4C650A10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A8F" w:rsidRPr="006838B1" w14:paraId="79BA252F" w14:textId="77777777" w:rsidTr="00003A8F">
        <w:trPr>
          <w:trHeight w:val="290"/>
        </w:trPr>
        <w:tc>
          <w:tcPr>
            <w:tcW w:w="7939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C611CE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C611CE">
              <w:rPr>
                <w:rFonts w:ascii="Calibri" w:hAnsi="Calibri"/>
                <w:b/>
                <w:bCs/>
                <w:color w:val="FFFFFF" w:themeColor="background1"/>
              </w:rPr>
              <w:t xml:space="preserve">                               Verhalten im Gefahrenfall</w:t>
            </w:r>
          </w:p>
        </w:tc>
        <w:tc>
          <w:tcPr>
            <w:tcW w:w="2320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C611CE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C611CE">
              <w:rPr>
                <w:rFonts w:ascii="Calibri" w:hAnsi="Calibri"/>
                <w:b/>
                <w:bCs/>
                <w:color w:val="FFFFFF" w:themeColor="background1"/>
              </w:rPr>
              <w:t>Notruf: 112</w:t>
            </w:r>
          </w:p>
        </w:tc>
      </w:tr>
      <w:tr w:rsidR="00003A8F" w:rsidRPr="006838B1" w14:paraId="097DDA49" w14:textId="77777777" w:rsidTr="00003A8F">
        <w:trPr>
          <w:trHeight w:val="1708"/>
        </w:trPr>
        <w:tc>
          <w:tcPr>
            <w:tcW w:w="107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56875B3" w14:textId="25E72CAB" w:rsidR="008F550D" w:rsidRPr="00C611CE" w:rsidRDefault="0025102B" w:rsidP="002B5B06">
            <w:pPr>
              <w:pStyle w:val="Listenabsatz"/>
              <w:numPr>
                <w:ilvl w:val="0"/>
                <w:numId w:val="10"/>
              </w:numPr>
              <w:rPr>
                <w:rFonts w:ascii="Calibri" w:hAnsi="Calibri" w:cs="Arial"/>
                <w:sz w:val="16"/>
                <w:szCs w:val="16"/>
              </w:rPr>
            </w:pPr>
            <w:r w:rsidRPr="00C611CE">
              <w:rPr>
                <w:rFonts w:ascii="Calibri" w:hAnsi="Calibri" w:cs="Arial"/>
                <w:b/>
                <w:bCs/>
                <w:sz w:val="16"/>
                <w:szCs w:val="16"/>
              </w:rPr>
              <w:t>Unbeabsichtigte Freisetzung:</w:t>
            </w:r>
            <w:r w:rsidR="0012264E" w:rsidRPr="00C611CE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="00C611CE" w:rsidRPr="00C611CE">
              <w:rPr>
                <w:rFonts w:ascii="Calibri" w:hAnsi="Calibri" w:cs="Arial"/>
                <w:sz w:val="16"/>
                <w:szCs w:val="16"/>
              </w:rPr>
              <w:t xml:space="preserve">Verschüttetes Kalium schnell in ein mit Paraffinöl gefülltes Gefäß geben. Dabei Tiegelzange, Pinzette etc. verwenden, nie mit der bloßen Hand anfassen. Falls das nicht möglich, verschüttetes Kalium mit Sand </w:t>
            </w:r>
            <w:proofErr w:type="spellStart"/>
            <w:r w:rsidR="00C611CE" w:rsidRPr="00C611CE">
              <w:rPr>
                <w:rFonts w:ascii="Calibri" w:hAnsi="Calibri" w:cs="Arial"/>
                <w:sz w:val="16"/>
                <w:szCs w:val="16"/>
              </w:rPr>
              <w:t>überschichten</w:t>
            </w:r>
            <w:proofErr w:type="spellEnd"/>
            <w:r w:rsidR="00C611CE" w:rsidRPr="00C611CE">
              <w:rPr>
                <w:rFonts w:ascii="Calibri" w:hAnsi="Calibri" w:cs="Arial"/>
                <w:sz w:val="16"/>
                <w:szCs w:val="16"/>
              </w:rPr>
              <w:t xml:space="preserve"> und vorsichtig mit tert-Butanol abreagieren lassen. Verspritztes Lösungsmittel im Abzug verdampfen lassen. Größere verschüttete Mengen außerhalb des Abzugs mit flüssigkeitsbindendem Material, z.B. </w:t>
            </w:r>
            <w:proofErr w:type="spellStart"/>
            <w:r w:rsidR="00C611CE" w:rsidRPr="00C611CE">
              <w:rPr>
                <w:rFonts w:ascii="Calibri" w:hAnsi="Calibri" w:cs="Arial"/>
                <w:sz w:val="16"/>
                <w:szCs w:val="16"/>
              </w:rPr>
              <w:t>Chemizorb</w:t>
            </w:r>
            <w:proofErr w:type="spellEnd"/>
            <w:r w:rsidR="00C611CE" w:rsidRPr="00C611CE">
              <w:rPr>
                <w:rFonts w:ascii="Calibri" w:hAnsi="Calibri" w:cs="Arial"/>
                <w:sz w:val="16"/>
                <w:szCs w:val="16"/>
              </w:rPr>
              <w:t>®</w:t>
            </w:r>
            <w:r w:rsidR="00C611CE" w:rsidRPr="00C611CE">
              <w:rPr>
                <w:rFonts w:ascii="Calibri" w:hAnsi="Calibri" w:cs="Arial"/>
                <w:sz w:val="16"/>
                <w:szCs w:val="16"/>
              </w:rPr>
              <w:t xml:space="preserve"> aufnehmen.</w:t>
            </w:r>
          </w:p>
          <w:p w14:paraId="0C7ACC51" w14:textId="6E7434F5" w:rsidR="0067439C" w:rsidRPr="00C611CE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6"/>
                <w:szCs w:val="16"/>
              </w:rPr>
            </w:pPr>
            <w:r w:rsidRPr="00C611CE">
              <w:rPr>
                <w:rFonts w:ascii="Calibri" w:hAnsi="Calibri" w:cs="Arial"/>
                <w:b/>
                <w:bCs/>
                <w:sz w:val="16"/>
                <w:szCs w:val="16"/>
              </w:rPr>
              <w:t>Löschmittel:</w:t>
            </w:r>
            <w:r w:rsidRPr="00C611C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9B0B71" w:rsidRPr="00C611CE">
              <w:rPr>
                <w:rFonts w:ascii="Calibri" w:hAnsi="Calibri" w:cs="Arial"/>
                <w:sz w:val="16"/>
                <w:szCs w:val="16"/>
              </w:rPr>
              <w:t>Löschmaßnahmen auf die Umgebung abstimmen</w:t>
            </w:r>
            <w:r w:rsidR="003A5854" w:rsidRPr="00C611CE">
              <w:rPr>
                <w:rFonts w:ascii="Calibri" w:hAnsi="Calibri" w:cs="Arial"/>
                <w:sz w:val="16"/>
                <w:szCs w:val="16"/>
              </w:rPr>
              <w:t>.</w:t>
            </w:r>
            <w:r w:rsidR="009B0B71" w:rsidRPr="00C611C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611CE" w:rsidRPr="00C611CE">
              <w:rPr>
                <w:rFonts w:ascii="Calibri" w:hAnsi="Calibri" w:cs="Arial"/>
                <w:sz w:val="16"/>
                <w:szCs w:val="16"/>
              </w:rPr>
              <w:t>Metallbrandpulver</w:t>
            </w:r>
            <w:r w:rsidR="00C611CE" w:rsidRPr="00C611CE">
              <w:rPr>
                <w:rFonts w:ascii="Calibri" w:hAnsi="Calibri" w:cs="Arial"/>
                <w:sz w:val="16"/>
                <w:szCs w:val="16"/>
              </w:rPr>
              <w:t>-Löscher</w:t>
            </w:r>
            <w:r w:rsidR="00C611CE" w:rsidRPr="00C611CE">
              <w:rPr>
                <w:rFonts w:ascii="Calibri" w:hAnsi="Calibri" w:cs="Arial"/>
                <w:sz w:val="16"/>
                <w:szCs w:val="16"/>
              </w:rPr>
              <w:t>, trockener Sand; Schaum und Wasser sind nicht geeignet</w:t>
            </w:r>
            <w:r w:rsidR="00C611CE" w:rsidRPr="00C611CE">
              <w:rPr>
                <w:rFonts w:ascii="Calibri" w:hAnsi="Calibri" w:cs="Arial"/>
                <w:sz w:val="16"/>
                <w:szCs w:val="16"/>
              </w:rPr>
              <w:t>.</w:t>
            </w:r>
          </w:p>
          <w:p w14:paraId="2C426087" w14:textId="10B2B512" w:rsidR="0063200C" w:rsidRPr="00C611CE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6"/>
                <w:szCs w:val="16"/>
              </w:rPr>
            </w:pPr>
            <w:r w:rsidRPr="00C611CE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Brandbekämpfung: </w:t>
            </w:r>
            <w:r w:rsidRPr="00C611CE">
              <w:rPr>
                <w:rFonts w:ascii="Calibri" w:hAnsi="Calibri" w:cs="Arial"/>
                <w:sz w:val="16"/>
                <w:szCs w:val="16"/>
              </w:rPr>
              <w:t>Nur Entstehungsbrände selbst löschen (Selbstschutz beachten) – sonst sofort Raum verlassen, Nachbarbereiche warnen und Feuerwehr rufen</w:t>
            </w:r>
            <w:r w:rsidR="00C611CE" w:rsidRPr="00C611CE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003A8F" w:rsidRPr="006838B1" w14:paraId="48665C08" w14:textId="77777777" w:rsidTr="00003A8F">
        <w:trPr>
          <w:trHeight w:val="279"/>
        </w:trPr>
        <w:tc>
          <w:tcPr>
            <w:tcW w:w="7939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C611CE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C611CE">
              <w:rPr>
                <w:rFonts w:ascii="Calibri" w:hAnsi="Calibri"/>
                <w:b/>
                <w:bCs/>
                <w:color w:val="FFFFFF" w:themeColor="background1"/>
              </w:rPr>
              <w:t xml:space="preserve">                            Erste Hilfe</w:t>
            </w:r>
          </w:p>
        </w:tc>
        <w:tc>
          <w:tcPr>
            <w:tcW w:w="2320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C611CE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C611CE">
              <w:rPr>
                <w:rFonts w:ascii="Calibri" w:hAnsi="Calibri"/>
                <w:b/>
                <w:bCs/>
                <w:color w:val="FFFFFF" w:themeColor="background1"/>
              </w:rPr>
              <w:t>Notruf: 112</w:t>
            </w:r>
          </w:p>
        </w:tc>
      </w:tr>
      <w:tr w:rsidR="00003A8F" w:rsidRPr="006838B1" w14:paraId="1199C2AF" w14:textId="77777777" w:rsidTr="00003A8F">
        <w:trPr>
          <w:trHeight w:val="4164"/>
        </w:trPr>
        <w:tc>
          <w:tcPr>
            <w:tcW w:w="107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8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2CE5B5E5" w:rsidR="0063200C" w:rsidRPr="00C611CE" w:rsidRDefault="0063200C" w:rsidP="003A585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 w:rsidRPr="00C611CE">
              <w:rPr>
                <w:rFonts w:ascii="Calibri" w:hAnsi="Calibri"/>
                <w:b/>
                <w:bCs/>
                <w:sz w:val="16"/>
                <w:szCs w:val="16"/>
              </w:rPr>
              <w:t>Nach Augenkontakt:</w:t>
            </w:r>
            <w:r w:rsidRPr="00C611CE">
              <w:rPr>
                <w:rFonts w:ascii="Calibri" w:hAnsi="Calibri"/>
                <w:sz w:val="16"/>
                <w:szCs w:val="16"/>
              </w:rPr>
              <w:t xml:space="preserve"> Einige Minuten lang behutsam mit Wasser spülen. Vorhandene Kontaktlinsen nach Möglichkeit entfernen. Weiter spülen.</w:t>
            </w:r>
            <w:r w:rsidR="003A5854" w:rsidRPr="00C611CE">
              <w:rPr>
                <w:sz w:val="16"/>
                <w:szCs w:val="16"/>
              </w:rPr>
              <w:t xml:space="preserve"> </w:t>
            </w:r>
            <w:r w:rsidR="00BD0EEC" w:rsidRPr="00C611CE">
              <w:rPr>
                <w:sz w:val="16"/>
                <w:szCs w:val="16"/>
              </w:rPr>
              <w:t xml:space="preserve">Sofort </w:t>
            </w:r>
            <w:r w:rsidR="003A5854" w:rsidRPr="00C611CE">
              <w:rPr>
                <w:rFonts w:ascii="Calibri" w:hAnsi="Calibri" w:cs="Calibri"/>
                <w:sz w:val="16"/>
                <w:szCs w:val="16"/>
              </w:rPr>
              <w:t>Ärztlichen Rat</w:t>
            </w:r>
            <w:r w:rsidR="003A5854" w:rsidRPr="00C611CE">
              <w:rPr>
                <w:rFonts w:ascii="Calibri" w:hAnsi="Calibri"/>
                <w:sz w:val="16"/>
                <w:szCs w:val="16"/>
              </w:rPr>
              <w:t xml:space="preserve"> einholen. </w:t>
            </w:r>
          </w:p>
          <w:p w14:paraId="0F668673" w14:textId="6E54552E" w:rsidR="0063200C" w:rsidRPr="00C611CE" w:rsidRDefault="0063200C" w:rsidP="002B5B0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 w:rsidRPr="00C611CE">
              <w:rPr>
                <w:rFonts w:ascii="Calibri" w:hAnsi="Calibri"/>
                <w:b/>
                <w:bCs/>
                <w:sz w:val="16"/>
                <w:szCs w:val="16"/>
              </w:rPr>
              <w:t>Nach Hautkontakt:</w:t>
            </w:r>
            <w:r w:rsidRPr="00C611CE">
              <w:rPr>
                <w:rFonts w:ascii="Calibri" w:hAnsi="Calibri"/>
                <w:sz w:val="16"/>
                <w:szCs w:val="16"/>
              </w:rPr>
              <w:t xml:space="preserve"> Alle kontaminierten Kleidungsstücke sofort ausziehen.</w:t>
            </w:r>
            <w:r w:rsidR="007D0436" w:rsidRPr="00C611CE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A62FB6" w:rsidRPr="00C611CE">
              <w:rPr>
                <w:rFonts w:ascii="Calibri" w:hAnsi="Calibri"/>
                <w:sz w:val="16"/>
                <w:szCs w:val="16"/>
              </w:rPr>
              <w:t xml:space="preserve">Selbstschutz beachten. </w:t>
            </w:r>
            <w:r w:rsidR="007D0436" w:rsidRPr="00C611CE">
              <w:rPr>
                <w:rFonts w:ascii="Calibri" w:hAnsi="Calibri"/>
                <w:sz w:val="16"/>
                <w:szCs w:val="16"/>
              </w:rPr>
              <w:t>Betroffene Hautstellen sofort mit viel Wasser abwaschen</w:t>
            </w:r>
            <w:r w:rsidR="003A5854" w:rsidRPr="00C611CE">
              <w:rPr>
                <w:rFonts w:ascii="Calibri" w:hAnsi="Calibri"/>
                <w:sz w:val="16"/>
                <w:szCs w:val="16"/>
              </w:rPr>
              <w:t>.</w:t>
            </w:r>
            <w:r w:rsidR="003A5854" w:rsidRPr="00C611CE">
              <w:rPr>
                <w:sz w:val="16"/>
                <w:szCs w:val="16"/>
              </w:rPr>
              <w:t xml:space="preserve"> </w:t>
            </w:r>
            <w:r w:rsidR="00BD0EEC" w:rsidRPr="00C611CE">
              <w:rPr>
                <w:rFonts w:ascii="Calibri" w:hAnsi="Calibri" w:cs="Calibri"/>
                <w:sz w:val="16"/>
                <w:szCs w:val="16"/>
              </w:rPr>
              <w:t>Sofort</w:t>
            </w:r>
            <w:r w:rsidR="00BD0EEC" w:rsidRPr="00C611CE">
              <w:rPr>
                <w:sz w:val="16"/>
                <w:szCs w:val="16"/>
              </w:rPr>
              <w:t xml:space="preserve"> </w:t>
            </w:r>
            <w:r w:rsidR="002B5B06" w:rsidRPr="00C611CE">
              <w:rPr>
                <w:rFonts w:ascii="Calibri" w:hAnsi="Calibri" w:cs="Calibri"/>
                <w:sz w:val="16"/>
                <w:szCs w:val="16"/>
              </w:rPr>
              <w:t>Ä</w:t>
            </w:r>
            <w:r w:rsidR="003A5854" w:rsidRPr="00C611CE">
              <w:rPr>
                <w:rFonts w:ascii="Calibri" w:hAnsi="Calibri"/>
                <w:sz w:val="16"/>
                <w:szCs w:val="16"/>
              </w:rPr>
              <w:t>rztlichen Rat einholen.</w:t>
            </w:r>
          </w:p>
          <w:p w14:paraId="7698E71D" w14:textId="764627BB" w:rsidR="0063200C" w:rsidRPr="00C611C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611CE">
              <w:rPr>
                <w:rFonts w:ascii="Calibri" w:hAnsi="Calibri"/>
                <w:b/>
                <w:bCs/>
                <w:sz w:val="16"/>
                <w:szCs w:val="16"/>
              </w:rPr>
              <w:t xml:space="preserve">Nach Einatmen: </w:t>
            </w:r>
            <w:r w:rsidRPr="00C611CE">
              <w:rPr>
                <w:rFonts w:ascii="Calibri" w:hAnsi="Calibri"/>
                <w:sz w:val="16"/>
                <w:szCs w:val="16"/>
              </w:rPr>
              <w:t>Die Person an die frische Luft bringen und für ungehinderte Atmung sorgen.</w:t>
            </w:r>
            <w:r w:rsidR="00A62FB6" w:rsidRPr="00C611CE">
              <w:rPr>
                <w:rFonts w:ascii="Calibri" w:hAnsi="Calibri"/>
                <w:sz w:val="16"/>
                <w:szCs w:val="16"/>
              </w:rPr>
              <w:t xml:space="preserve"> Selbstschutz beachten.</w:t>
            </w:r>
            <w:r w:rsidRPr="00C611CE">
              <w:rPr>
                <w:rFonts w:ascii="Calibri" w:hAnsi="Calibri"/>
                <w:sz w:val="16"/>
                <w:szCs w:val="16"/>
              </w:rPr>
              <w:t xml:space="preserve"> Sofort ärztliche Hilfe hinzuziehen.</w:t>
            </w:r>
          </w:p>
          <w:p w14:paraId="2B0AD635" w14:textId="3CFC4270" w:rsidR="0063200C" w:rsidRPr="00C611C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611CE">
              <w:rPr>
                <w:rFonts w:ascii="Calibri" w:hAnsi="Calibri"/>
                <w:b/>
                <w:bCs/>
                <w:sz w:val="16"/>
                <w:szCs w:val="16"/>
              </w:rPr>
              <w:t xml:space="preserve">Nach Verschlucken: </w:t>
            </w:r>
            <w:r w:rsidRPr="00C611CE">
              <w:rPr>
                <w:rFonts w:ascii="Calibri" w:hAnsi="Calibri"/>
                <w:sz w:val="16"/>
                <w:szCs w:val="16"/>
              </w:rPr>
              <w:t>Sofort Mund ausspülen und reichlich Wasser</w:t>
            </w:r>
            <w:r w:rsidR="007D0436" w:rsidRPr="00C611CE">
              <w:rPr>
                <w:rFonts w:ascii="Calibri" w:hAnsi="Calibri"/>
                <w:sz w:val="16"/>
                <w:szCs w:val="16"/>
              </w:rPr>
              <w:t xml:space="preserve"> (mind. 2 Trinkgläser)</w:t>
            </w:r>
            <w:r w:rsidRPr="00C611CE">
              <w:rPr>
                <w:rFonts w:ascii="Calibri" w:hAnsi="Calibri"/>
                <w:sz w:val="16"/>
                <w:szCs w:val="16"/>
              </w:rPr>
              <w:t xml:space="preserve"> nachtrinken.</w:t>
            </w:r>
            <w:r w:rsidR="00757CA1" w:rsidRPr="00C611CE">
              <w:rPr>
                <w:sz w:val="16"/>
                <w:szCs w:val="16"/>
              </w:rPr>
              <w:t xml:space="preserve"> </w:t>
            </w:r>
            <w:r w:rsidR="00757CA1" w:rsidRPr="00C611CE">
              <w:rPr>
                <w:rFonts w:ascii="Calibri" w:hAnsi="Calibri"/>
                <w:sz w:val="16"/>
                <w:szCs w:val="16"/>
              </w:rPr>
              <w:t xml:space="preserve">Bei spontanem Erbrechen Kopf des Verunfallten in Seitenlage oder besser in Tieflage bringen, um Aspiration zu vermeiden. </w:t>
            </w:r>
            <w:r w:rsidR="007D0436" w:rsidRPr="00C611C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611CE">
              <w:rPr>
                <w:rFonts w:ascii="Calibri" w:hAnsi="Calibri"/>
                <w:sz w:val="16"/>
                <w:szCs w:val="16"/>
              </w:rPr>
              <w:t>Sofort Arzt hinzuziehen.</w:t>
            </w:r>
          </w:p>
          <w:p w14:paraId="67420CE0" w14:textId="02344149" w:rsidR="0063200C" w:rsidRPr="00C611CE" w:rsidRDefault="0063200C" w:rsidP="0063200C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58FB0EAF" w14:textId="77777777" w:rsidR="0063200C" w:rsidRPr="00C611C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 w:rsidRPr="00C611CE">
              <w:rPr>
                <w:rFonts w:ascii="Calibri" w:hAnsi="Calibri"/>
                <w:sz w:val="16"/>
                <w:szCs w:val="16"/>
              </w:rPr>
              <w:t>Bei allen Erste-Hilfe-Maßnahmen Selbstschutz beachten.</w:t>
            </w:r>
          </w:p>
          <w:p w14:paraId="3777FD99" w14:textId="11805B48" w:rsidR="0063200C" w:rsidRPr="00C611C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 w:rsidRPr="00C611CE">
              <w:rPr>
                <w:rFonts w:ascii="Calibri" w:hAnsi="Calibri"/>
                <w:sz w:val="16"/>
                <w:szCs w:val="16"/>
              </w:rPr>
              <w:t>Bei leichten Verletzungen in den Meldeblock eintragen und zentral archivieren.</w:t>
            </w:r>
          </w:p>
          <w:p w14:paraId="03D2A0AC" w14:textId="57372696" w:rsidR="0063200C" w:rsidRPr="00C611C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 w:rsidRPr="00C611CE">
              <w:rPr>
                <w:rFonts w:ascii="Calibri" w:hAnsi="Calibri"/>
                <w:sz w:val="16"/>
                <w:szCs w:val="16"/>
              </w:rPr>
              <w:t>Bei schweren Verletzungen Unfallanzeige ausfüllen.</w:t>
            </w:r>
          </w:p>
          <w:p w14:paraId="29B92DAA" w14:textId="5F7940A4" w:rsidR="0063200C" w:rsidRPr="00C611C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 w:rsidRPr="00C611CE">
              <w:rPr>
                <w:rFonts w:ascii="Calibri" w:hAnsi="Calibri"/>
                <w:sz w:val="16"/>
                <w:szCs w:val="16"/>
              </w:rPr>
              <w:t>Unfall an der Hauptpforte melden, Tel: 44 444.</w:t>
            </w:r>
          </w:p>
          <w:p w14:paraId="2594C7DD" w14:textId="77777777" w:rsidR="0063200C" w:rsidRPr="00C611CE" w:rsidRDefault="0063200C" w:rsidP="0063200C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6BF4E39C" w14:textId="62868BC0" w:rsidR="0063200C" w:rsidRPr="00C611CE" w:rsidRDefault="0063200C" w:rsidP="0063200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611CE">
              <w:rPr>
                <w:rFonts w:ascii="Calibri" w:hAnsi="Calibri"/>
                <w:b/>
                <w:bCs/>
                <w:sz w:val="16"/>
                <w:szCs w:val="16"/>
              </w:rPr>
              <w:t>Ersthelfer hinzuziehen, Vorgesetzten informieren, Arzt aufsuchen.</w:t>
            </w:r>
          </w:p>
          <w:p w14:paraId="2CCCC9A4" w14:textId="77777777" w:rsidR="0063200C" w:rsidRPr="00C611CE" w:rsidRDefault="0063200C" w:rsidP="0063200C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476056B2" w14:textId="299B2B71" w:rsidR="0063200C" w:rsidRPr="00C611C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6"/>
                <w:szCs w:val="16"/>
              </w:rPr>
            </w:pPr>
            <w:r w:rsidRPr="00C611CE">
              <w:rPr>
                <w:rFonts w:ascii="Calibri" w:hAnsi="Calibri"/>
                <w:b/>
                <w:bCs/>
                <w:sz w:val="16"/>
                <w:szCs w:val="16"/>
              </w:rPr>
              <w:t xml:space="preserve">ERSTHELFER:        </w:t>
            </w:r>
            <w:r w:rsidRPr="00C611CE">
              <w:rPr>
                <w:rFonts w:ascii="Calibri" w:hAnsi="Calibri"/>
                <w:sz w:val="16"/>
                <w:szCs w:val="16"/>
              </w:rPr>
              <w:t xml:space="preserve">Name:  ............................. Raum: ........................ </w:t>
            </w:r>
          </w:p>
          <w:p w14:paraId="52113A65" w14:textId="77777777" w:rsidR="0063200C" w:rsidRPr="00C611C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0"/>
                <w:szCs w:val="10"/>
              </w:rPr>
            </w:pPr>
          </w:p>
          <w:p w14:paraId="55EAB464" w14:textId="54FB91B2" w:rsidR="0063200C" w:rsidRPr="00C611C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6"/>
                <w:szCs w:val="16"/>
              </w:rPr>
            </w:pPr>
            <w:r w:rsidRPr="00C611CE">
              <w:rPr>
                <w:rFonts w:ascii="Calibri" w:hAnsi="Calibri"/>
                <w:sz w:val="16"/>
                <w:szCs w:val="16"/>
              </w:rPr>
              <w:t>Tel.: ...............................</w:t>
            </w:r>
          </w:p>
          <w:p w14:paraId="28175658" w14:textId="77777777" w:rsidR="0063200C" w:rsidRPr="00C611C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225824AB" w14:textId="77777777" w:rsidR="0063200C" w:rsidRPr="00C611CE" w:rsidRDefault="0063200C" w:rsidP="0063200C">
            <w:pPr>
              <w:rPr>
                <w:rFonts w:ascii="Calibri" w:hAnsi="Calibri"/>
                <w:sz w:val="16"/>
                <w:szCs w:val="16"/>
              </w:rPr>
            </w:pPr>
            <w:r w:rsidRPr="00C611CE">
              <w:rPr>
                <w:rFonts w:ascii="Calibri" w:hAnsi="Calibri"/>
                <w:b/>
                <w:bCs/>
                <w:sz w:val="16"/>
                <w:szCs w:val="16"/>
              </w:rPr>
              <w:t>UNFALLARZT:</w:t>
            </w:r>
            <w:r w:rsidRPr="00C611CE">
              <w:rPr>
                <w:rFonts w:ascii="Calibri" w:hAnsi="Calibri"/>
                <w:b/>
                <w:bCs/>
                <w:sz w:val="16"/>
                <w:szCs w:val="16"/>
              </w:rPr>
              <w:tab/>
            </w:r>
            <w:r w:rsidRPr="00C611CE">
              <w:rPr>
                <w:rFonts w:ascii="Calibri" w:hAnsi="Calibri"/>
                <w:sz w:val="16"/>
                <w:szCs w:val="16"/>
              </w:rPr>
              <w:t xml:space="preserve">Elisabethenstift, Landgraf-Georg-Str. 100,             </w:t>
            </w:r>
          </w:p>
          <w:p w14:paraId="2A837E87" w14:textId="1CE98772" w:rsidR="0063200C" w:rsidRPr="00C611C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611CE">
              <w:rPr>
                <w:rFonts w:ascii="Calibri" w:hAnsi="Calibri"/>
                <w:sz w:val="16"/>
                <w:szCs w:val="16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EF69D0">
        <w:trPr>
          <w:trHeight w:val="290"/>
        </w:trPr>
        <w:tc>
          <w:tcPr>
            <w:tcW w:w="10259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C611CE">
              <w:rPr>
                <w:rFonts w:ascii="Calibri" w:hAnsi="Calibri"/>
                <w:b/>
                <w:bCs/>
                <w:color w:val="FFFFFF" w:themeColor="background1"/>
              </w:rPr>
              <w:t>Sachgerechte Entsorgung</w:t>
            </w:r>
          </w:p>
        </w:tc>
      </w:tr>
      <w:tr w:rsidR="00003A8F" w:rsidRPr="006838B1" w14:paraId="741F2573" w14:textId="77777777" w:rsidTr="00EF69D0">
        <w:trPr>
          <w:trHeight w:val="73"/>
        </w:trPr>
        <w:tc>
          <w:tcPr>
            <w:tcW w:w="10259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35ADC62" w:rsidR="00003A8F" w:rsidRPr="00003A8F" w:rsidRDefault="00003A8F" w:rsidP="00003A8F">
            <w:pPr>
              <w:pStyle w:val="Listenabsatz"/>
              <w:ind w:left="360"/>
              <w:rPr>
                <w:rFonts w:ascii="Calibri" w:hAnsi="Calibri"/>
                <w:sz w:val="18"/>
                <w:szCs w:val="18"/>
              </w:rPr>
            </w:pPr>
            <w:r w:rsidRPr="00003A8F">
              <w:rPr>
                <w:rFonts w:ascii="Calibri" w:hAnsi="Calibri"/>
                <w:sz w:val="18"/>
                <w:szCs w:val="18"/>
              </w:rPr>
              <w:t xml:space="preserve">Lösemittelabfälle in Sammelbehälter. Na/K-Reste und Destillationsrückstände in inertem Lösungsmittel vorlegen und tropfenweise mit </w:t>
            </w:r>
            <w:proofErr w:type="spellStart"/>
            <w:r w:rsidRPr="00003A8F">
              <w:rPr>
                <w:rFonts w:ascii="Calibri" w:hAnsi="Calibri"/>
                <w:sz w:val="18"/>
                <w:szCs w:val="18"/>
              </w:rPr>
              <w:t>Isopropanol</w:t>
            </w:r>
            <w:proofErr w:type="spellEnd"/>
            <w:r w:rsidRPr="00003A8F">
              <w:rPr>
                <w:rFonts w:ascii="Calibri" w:hAnsi="Calibri"/>
                <w:sz w:val="18"/>
                <w:szCs w:val="18"/>
              </w:rPr>
              <w:t xml:space="preserve"> vernichten, in Sammelbehälter entsorgen oder vorsichtig mit Wasser verdünnen, neutralisieren und mit viel Wasser in den </w:t>
            </w:r>
            <w:proofErr w:type="spellStart"/>
            <w:r w:rsidRPr="00003A8F">
              <w:rPr>
                <w:rFonts w:ascii="Calibri" w:hAnsi="Calibri"/>
                <w:sz w:val="18"/>
                <w:szCs w:val="18"/>
              </w:rPr>
              <w:t>Ausgu</w:t>
            </w:r>
            <w:r>
              <w:rPr>
                <w:rFonts w:ascii="Calibri" w:hAnsi="Calibri"/>
                <w:sz w:val="18"/>
                <w:szCs w:val="18"/>
              </w:rPr>
              <w:t>ss</w:t>
            </w:r>
            <w:proofErr w:type="spellEnd"/>
            <w:r w:rsidRPr="00003A8F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A8F">
              <w:rPr>
                <w:rFonts w:ascii="Calibri" w:hAnsi="Calibri"/>
                <w:sz w:val="18"/>
                <w:szCs w:val="18"/>
              </w:rPr>
              <w:t>Mit dem Entsorgungszentrum der TU Kontakt aufnehmen, Tel.: 24700.</w:t>
            </w:r>
          </w:p>
          <w:p w14:paraId="6563728E" w14:textId="769390A1" w:rsidR="00003A8F" w:rsidRDefault="00003A8F" w:rsidP="0063200C">
            <w:pPr>
              <w:pStyle w:val="Listenabsatz"/>
              <w:ind w:left="1353"/>
              <w:rPr>
                <w:rFonts w:ascii="Calibri" w:hAnsi="Calibri"/>
                <w:sz w:val="10"/>
                <w:szCs w:val="10"/>
              </w:rPr>
            </w:pPr>
          </w:p>
          <w:p w14:paraId="72C340F6" w14:textId="77777777" w:rsidR="00003A8F" w:rsidRPr="00E4764F" w:rsidRDefault="00003A8F" w:rsidP="00E4764F">
            <w:pPr>
              <w:rPr>
                <w:rFonts w:ascii="Calibri" w:hAnsi="Calibri"/>
                <w:sz w:val="10"/>
                <w:szCs w:val="10"/>
              </w:rPr>
            </w:pPr>
          </w:p>
          <w:p w14:paraId="059C34AE" w14:textId="77777777" w:rsidR="00003A8F" w:rsidRDefault="00003A8F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7B624FCC" w:rsidR="00003A8F" w:rsidRPr="00003A8F" w:rsidRDefault="00003A8F" w:rsidP="0063200C">
            <w:pPr>
              <w:pStyle w:val="Listenabsatz"/>
              <w:ind w:left="1353"/>
              <w:rPr>
                <w:rFonts w:ascii="Calibri" w:hAnsi="Calibri"/>
                <w:sz w:val="10"/>
                <w:szCs w:val="10"/>
              </w:rPr>
            </w:pPr>
          </w:p>
        </w:tc>
      </w:tr>
      <w:tr w:rsidR="00003A8F" w:rsidRPr="006838B1" w14:paraId="21A43B41" w14:textId="77777777" w:rsidTr="00003A8F">
        <w:trPr>
          <w:trHeight w:val="303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69EC966D" w14:textId="02CF0359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</w:tc>
        <w:tc>
          <w:tcPr>
            <w:tcW w:w="4625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0133BFE3" w14:textId="22B2F825" w:rsidR="002B5B06" w:rsidRPr="000E771E" w:rsidRDefault="00E4764F" w:rsidP="00E4764F">
      <w:pPr>
        <w:pStyle w:val="berschrift1"/>
        <w:tabs>
          <w:tab w:val="left" w:pos="7266"/>
        </w:tabs>
        <w:rPr>
          <w:rFonts w:ascii="Calibri" w:hAnsi="Calibri"/>
          <w:sz w:val="10"/>
          <w:szCs w:val="10"/>
        </w:rPr>
      </w:pPr>
      <w:r>
        <w:rPr>
          <w:rFonts w:ascii="Calibri" w:hAnsi="Calibri"/>
          <w:sz w:val="10"/>
          <w:szCs w:val="10"/>
        </w:rPr>
        <w:tab/>
      </w:r>
    </w:p>
    <w:sectPr w:rsidR="002B5B06" w:rsidRPr="000E771E" w:rsidSect="00BA6923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7516BC2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</w:t>
    </w:r>
    <w:r w:rsidR="002B5B06">
      <w:rPr>
        <w:sz w:val="16"/>
        <w:szCs w:val="16"/>
      </w:rPr>
      <w:t>November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803EAA"/>
    <w:multiLevelType w:val="hybridMultilevel"/>
    <w:tmpl w:val="922410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A8F"/>
    <w:rsid w:val="00003B84"/>
    <w:rsid w:val="00007798"/>
    <w:rsid w:val="00017C6D"/>
    <w:rsid w:val="0003617D"/>
    <w:rsid w:val="000519D7"/>
    <w:rsid w:val="000B256A"/>
    <w:rsid w:val="000D0D58"/>
    <w:rsid w:val="000E223E"/>
    <w:rsid w:val="000E771E"/>
    <w:rsid w:val="00113DD6"/>
    <w:rsid w:val="0012264E"/>
    <w:rsid w:val="0012459F"/>
    <w:rsid w:val="00146343"/>
    <w:rsid w:val="00154A11"/>
    <w:rsid w:val="00175C00"/>
    <w:rsid w:val="001A6ECC"/>
    <w:rsid w:val="001E000F"/>
    <w:rsid w:val="002305DB"/>
    <w:rsid w:val="00242626"/>
    <w:rsid w:val="0025102B"/>
    <w:rsid w:val="002951B2"/>
    <w:rsid w:val="002B5B06"/>
    <w:rsid w:val="0031007E"/>
    <w:rsid w:val="003145BE"/>
    <w:rsid w:val="00366ED2"/>
    <w:rsid w:val="00375848"/>
    <w:rsid w:val="003A5854"/>
    <w:rsid w:val="003B3369"/>
    <w:rsid w:val="003C2263"/>
    <w:rsid w:val="004249D5"/>
    <w:rsid w:val="004334C8"/>
    <w:rsid w:val="00433A96"/>
    <w:rsid w:val="004C4082"/>
    <w:rsid w:val="004E663C"/>
    <w:rsid w:val="00513791"/>
    <w:rsid w:val="00537035"/>
    <w:rsid w:val="005A3129"/>
    <w:rsid w:val="005A7C92"/>
    <w:rsid w:val="005B65A5"/>
    <w:rsid w:val="006103C9"/>
    <w:rsid w:val="00621749"/>
    <w:rsid w:val="00631978"/>
    <w:rsid w:val="0063200C"/>
    <w:rsid w:val="00644473"/>
    <w:rsid w:val="0067439C"/>
    <w:rsid w:val="006778D0"/>
    <w:rsid w:val="006838B1"/>
    <w:rsid w:val="006A3237"/>
    <w:rsid w:val="0070530A"/>
    <w:rsid w:val="00757CA1"/>
    <w:rsid w:val="00792657"/>
    <w:rsid w:val="007B3126"/>
    <w:rsid w:val="007C0288"/>
    <w:rsid w:val="007D0436"/>
    <w:rsid w:val="007E0B99"/>
    <w:rsid w:val="007F3688"/>
    <w:rsid w:val="00803261"/>
    <w:rsid w:val="00830553"/>
    <w:rsid w:val="00830BA0"/>
    <w:rsid w:val="008629E0"/>
    <w:rsid w:val="008A006A"/>
    <w:rsid w:val="008D6FC5"/>
    <w:rsid w:val="008F550D"/>
    <w:rsid w:val="00911989"/>
    <w:rsid w:val="009B0B71"/>
    <w:rsid w:val="00A32615"/>
    <w:rsid w:val="00A53783"/>
    <w:rsid w:val="00A62FB6"/>
    <w:rsid w:val="00A6653E"/>
    <w:rsid w:val="00B10C91"/>
    <w:rsid w:val="00B10FBC"/>
    <w:rsid w:val="00B21DEB"/>
    <w:rsid w:val="00B2449D"/>
    <w:rsid w:val="00BA6923"/>
    <w:rsid w:val="00BB7BF4"/>
    <w:rsid w:val="00BC748B"/>
    <w:rsid w:val="00BD0EEC"/>
    <w:rsid w:val="00C30121"/>
    <w:rsid w:val="00C611CE"/>
    <w:rsid w:val="00CA210E"/>
    <w:rsid w:val="00CB48F4"/>
    <w:rsid w:val="00CC26C9"/>
    <w:rsid w:val="00D12D12"/>
    <w:rsid w:val="00D13B1D"/>
    <w:rsid w:val="00D55769"/>
    <w:rsid w:val="00D616EA"/>
    <w:rsid w:val="00DB6A14"/>
    <w:rsid w:val="00DD2AC5"/>
    <w:rsid w:val="00E16407"/>
    <w:rsid w:val="00E206A8"/>
    <w:rsid w:val="00E20F4B"/>
    <w:rsid w:val="00E2600A"/>
    <w:rsid w:val="00E4764F"/>
    <w:rsid w:val="00E531E7"/>
    <w:rsid w:val="00EE74B5"/>
    <w:rsid w:val="00EF69D0"/>
    <w:rsid w:val="00F2075C"/>
    <w:rsid w:val="00F50794"/>
    <w:rsid w:val="00FB4403"/>
    <w:rsid w:val="00FB58A3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E7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7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4</cp:revision>
  <dcterms:created xsi:type="dcterms:W3CDTF">2020-11-16T11:37:00Z</dcterms:created>
  <dcterms:modified xsi:type="dcterms:W3CDTF">2020-11-16T12:32:00Z</dcterms:modified>
</cp:coreProperties>
</file>