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206" w:type="dxa"/>
        <w:tblInd w:w="9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764"/>
        <w:gridCol w:w="316"/>
        <w:gridCol w:w="3512"/>
        <w:gridCol w:w="434"/>
        <w:gridCol w:w="709"/>
        <w:gridCol w:w="1550"/>
        <w:gridCol w:w="992"/>
      </w:tblGrid>
      <w:tr w:rsidR="005614C2" w:rsidRPr="006838B1" w14:paraId="0BDE8561" w14:textId="77777777" w:rsidTr="00CD74C2">
        <w:tc>
          <w:tcPr>
            <w:tcW w:w="3009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3632EA" w:rsidRDefault="00CC26C9" w:rsidP="00DB6A14">
            <w:pPr>
              <w:ind w:right="-471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 xml:space="preserve">Arbeitsbereich: </w:t>
            </w:r>
          </w:p>
          <w:p w14:paraId="0FBDE3D6" w14:textId="77777777" w:rsidR="00CC26C9" w:rsidRPr="003632EA" w:rsidRDefault="00CC26C9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Arbeitsplatz/Tätigkeiten:</w:t>
            </w:r>
            <w:r w:rsidR="004249D5"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512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3632EA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40"/>
                <w:szCs w:val="40"/>
                <w:lang w:eastAsia="de-DE"/>
              </w:rPr>
            </w:pPr>
            <w:r w:rsidRPr="003632EA">
              <w:rPr>
                <w:rFonts w:ascii="Calibri" w:eastAsia="Times New Roman" w:hAnsi="Calibri" w:cstheme="minorHAnsi"/>
                <w:b/>
                <w:sz w:val="40"/>
                <w:szCs w:val="40"/>
                <w:lang w:eastAsia="de-DE"/>
              </w:rPr>
              <w:t>Betriebsanweisung</w:t>
            </w:r>
          </w:p>
          <w:p w14:paraId="0306E8E2" w14:textId="77777777" w:rsidR="00CC26C9" w:rsidRPr="003632EA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</w:pPr>
            <w:r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gem. </w:t>
            </w:r>
            <w:r w:rsidR="00DB6A14"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§ 14 </w:t>
            </w:r>
            <w:r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685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7919076D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79375</wp:posOffset>
                  </wp:positionV>
                  <wp:extent cx="1366520" cy="545465"/>
                  <wp:effectExtent l="0" t="0" r="5080" b="6985"/>
                  <wp:wrapThrough wrapText="bothSides">
                    <wp:wrapPolygon edited="0">
                      <wp:start x="0" y="0"/>
                      <wp:lineTo x="0" y="21122"/>
                      <wp:lineTo x="21379" y="21122"/>
                      <wp:lineTo x="2137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3632EA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Gefahrstoffbezeichnung</w:t>
            </w:r>
          </w:p>
        </w:tc>
      </w:tr>
      <w:tr w:rsidR="00366ED2" w:rsidRPr="006838B1" w14:paraId="6BF194D1" w14:textId="77777777" w:rsidTr="00CD74C2">
        <w:tc>
          <w:tcPr>
            <w:tcW w:w="10206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11462A60" w:rsidR="00366ED2" w:rsidRPr="00EA74C5" w:rsidRDefault="00CD6C96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D6C96">
              <w:rPr>
                <w:rFonts w:ascii="Calibri" w:hAnsi="Calibri"/>
                <w:b/>
                <w:bCs/>
                <w:sz w:val="28"/>
                <w:szCs w:val="28"/>
              </w:rPr>
              <w:t>Acetonitril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C</w:t>
            </w:r>
            <w:r w:rsidRPr="00CD6C96">
              <w:rPr>
                <w:rFonts w:ascii="Calibri" w:hAnsi="Calibri"/>
                <w:b/>
                <w:bCs/>
                <w:sz w:val="28"/>
                <w:szCs w:val="28"/>
                <w:vertAlign w:val="subscript"/>
              </w:rPr>
              <w:t>2</w:t>
            </w:r>
            <w:r w:rsidRPr="00CD6C96">
              <w:rPr>
                <w:rFonts w:ascii="Calibri" w:hAnsi="Calibri"/>
                <w:b/>
                <w:bCs/>
                <w:sz w:val="28"/>
                <w:szCs w:val="28"/>
              </w:rPr>
              <w:t>H</w:t>
            </w:r>
            <w:r w:rsidRPr="00CD6C96">
              <w:rPr>
                <w:rFonts w:ascii="Calibri" w:hAnsi="Calibri"/>
                <w:b/>
                <w:bCs/>
                <w:sz w:val="28"/>
                <w:szCs w:val="28"/>
                <w:vertAlign w:val="subscript"/>
              </w:rPr>
              <w:t>3</w:t>
            </w:r>
            <w:r w:rsidRPr="00CD6C96">
              <w:rPr>
                <w:rFonts w:ascii="Calibri" w:hAnsi="Calibri"/>
                <w:b/>
                <w:bCs/>
                <w:sz w:val="28"/>
                <w:szCs w:val="28"/>
              </w:rPr>
              <w:t>N</w:t>
            </w:r>
            <w:proofErr w:type="spellEnd"/>
          </w:p>
        </w:tc>
      </w:tr>
      <w:tr w:rsidR="00366ED2" w:rsidRPr="006838B1" w14:paraId="13CD52CF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1C03CB6B" w:rsidR="00366ED2" w:rsidRPr="003632EA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3632EA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Gefahren für Mensch und Umwelt</w:t>
            </w:r>
          </w:p>
        </w:tc>
      </w:tr>
      <w:tr w:rsidR="005614C2" w:rsidRPr="006838B1" w14:paraId="3266990A" w14:textId="77777777" w:rsidTr="00CD74C2">
        <w:trPr>
          <w:trHeight w:val="848"/>
        </w:trPr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0476D53C" w:rsidR="007E0B99" w:rsidRPr="007E0B99" w:rsidRDefault="005614C2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5DDF0D2D" wp14:editId="511C8B92">
                  <wp:extent cx="512698" cy="512698"/>
                  <wp:effectExtent l="0" t="0" r="1905" b="190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94" cy="52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283BD78" w14:textId="2CDAB41E" w:rsidR="00A53783" w:rsidRDefault="006B7489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6B7489">
              <w:rPr>
                <w:rFonts w:ascii="Calibri" w:hAnsi="Calibri"/>
                <w:sz w:val="20"/>
                <w:szCs w:val="20"/>
              </w:rPr>
              <w:t>Flüssigkeit und Dampf leicht entzündbar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6B748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D3CB4A5" w14:textId="310797F0" w:rsidR="006B7489" w:rsidRDefault="006B7489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6B7489">
              <w:rPr>
                <w:rFonts w:ascii="Calibri" w:hAnsi="Calibri"/>
                <w:sz w:val="20"/>
                <w:szCs w:val="20"/>
              </w:rPr>
              <w:t>Dämpfe sind schwerer als Luft, breiten sich am Boden aus und bilden mit Luft explosionsfähige Gemische.</w:t>
            </w:r>
          </w:p>
          <w:p w14:paraId="0B5CB027" w14:textId="7F7FF641" w:rsidR="006B7489" w:rsidRDefault="00F50C9D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F50C9D">
              <w:rPr>
                <w:rFonts w:ascii="Calibri" w:hAnsi="Calibri"/>
                <w:sz w:val="20"/>
                <w:szCs w:val="20"/>
              </w:rPr>
              <w:t>Das Eindringen in die Kanalisation oder in Oberflächen- und Grundwasser verhindern. Explosionsgefahr.</w:t>
            </w:r>
          </w:p>
          <w:p w14:paraId="7E46797D" w14:textId="1DA75957" w:rsidR="006B7489" w:rsidRDefault="006B7489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6B7489">
              <w:rPr>
                <w:rFonts w:ascii="Calibri" w:hAnsi="Calibri"/>
                <w:sz w:val="20"/>
                <w:szCs w:val="20"/>
              </w:rPr>
              <w:t>Gesundheitsschädlich bei Verschlucken, Hautkontakt oder Einatmen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6B748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F306424" w14:textId="77777777" w:rsidR="006B7489" w:rsidRDefault="006B7489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6B7489">
              <w:rPr>
                <w:rFonts w:ascii="Calibri" w:hAnsi="Calibri"/>
                <w:sz w:val="20"/>
                <w:szCs w:val="20"/>
              </w:rPr>
              <w:t>Verursacht schwere Augenreizung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2B45B254" w14:textId="3F063164" w:rsidR="00521930" w:rsidRPr="00CD6C96" w:rsidRDefault="00521930" w:rsidP="0066291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521930">
              <w:rPr>
                <w:rFonts w:ascii="Calibri" w:hAnsi="Calibri"/>
                <w:sz w:val="20"/>
                <w:szCs w:val="20"/>
              </w:rPr>
              <w:t>Heftige Reaktion mit: Peroxide, Starkes Oxidationsmittel, Starke Säure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0E9A1377" w:rsidR="00A53783" w:rsidRPr="00A53783" w:rsidRDefault="005614C2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E9758D" wp14:editId="38B7E3CF">
                  <wp:extent cx="526415" cy="526415"/>
                  <wp:effectExtent l="0" t="0" r="6985" b="698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3851" cy="53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ED2" w:rsidRPr="006838B1" w14:paraId="052056E6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41B11D37" w:rsidR="00366ED2" w:rsidRPr="00CD6C96" w:rsidRDefault="00366ED2" w:rsidP="00DB6A1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Schutzmaßnahmen und Verhal</w:t>
            </w:r>
            <w:r w:rsidR="00CC26C9"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t</w:t>
            </w: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ensregeln</w:t>
            </w:r>
          </w:p>
        </w:tc>
      </w:tr>
      <w:tr w:rsidR="00CD74C2" w:rsidRPr="006838B1" w14:paraId="7269A93E" w14:textId="77777777" w:rsidTr="00CD74C2"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6406830" w14:textId="77777777" w:rsidR="00CD74C2" w:rsidRDefault="00CD74C2" w:rsidP="00DB6A14">
            <w:pPr>
              <w:rPr>
                <w:rFonts w:ascii="Calibri" w:hAnsi="Calibri"/>
                <w:sz w:val="2"/>
                <w:szCs w:val="2"/>
              </w:rPr>
            </w:pPr>
          </w:p>
          <w:p w14:paraId="055E7EDF" w14:textId="77777777" w:rsidR="00CD74C2" w:rsidRDefault="00CD74C2" w:rsidP="00DB6A14">
            <w:pPr>
              <w:rPr>
                <w:rFonts w:ascii="Calibri" w:hAnsi="Calibri"/>
                <w:sz w:val="2"/>
                <w:szCs w:val="2"/>
              </w:rPr>
            </w:pPr>
          </w:p>
          <w:p w14:paraId="26FD2CA0" w14:textId="5D456388" w:rsidR="00CD74C2" w:rsidRDefault="00CD74C2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DD5DC9E" wp14:editId="441E128C">
                  <wp:extent cx="504582" cy="507413"/>
                  <wp:effectExtent l="0" t="0" r="0" b="698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66" cy="51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A86FAE" w:rsidRDefault="00A86FAE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2DDC9305" w:rsidR="00A86FAE" w:rsidRPr="00E2600A" w:rsidRDefault="00CD74C2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200F160" wp14:editId="2303A108">
                  <wp:extent cx="505315" cy="508150"/>
                  <wp:effectExtent l="0" t="0" r="9525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54" cy="51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4EAF0007" w14:textId="39F172C9" w:rsidR="0040496A" w:rsidRDefault="0040496A" w:rsidP="00FA4F89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Gefahrstoff dichtverschlossen, kühl und an gut belüfteten Ort lagern. </w:t>
            </w:r>
          </w:p>
          <w:p w14:paraId="615C987C" w14:textId="219DD3FB" w:rsidR="00FA4F89" w:rsidRPr="00FA4F89" w:rsidRDefault="00521930" w:rsidP="00FA4F89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521930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Explosionsgefahr</w:t>
            </w:r>
            <w:r w:rsidR="00FA4F89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,</w:t>
            </w:r>
            <w:r w:rsidRPr="00521930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Eindringen der Dämpfe in Keller, Kanalisation und Gruben verhindern.</w:t>
            </w:r>
            <w:r w:rsidR="00CD74C2">
              <w:rPr>
                <w:noProof/>
              </w:rPr>
              <w:t xml:space="preserve"> </w:t>
            </w:r>
          </w:p>
          <w:p w14:paraId="35BB9A74" w14:textId="77777777" w:rsidR="0040496A" w:rsidRDefault="00FA4F89" w:rsidP="0040496A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40496A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Von Zündquellen fernhalten - Nicht rauchen.</w:t>
            </w:r>
            <w:r w:rsidR="0040496A" w:rsidRPr="0040496A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</w:t>
            </w:r>
          </w:p>
          <w:p w14:paraId="3A706754" w14:textId="6C633A2C" w:rsidR="00521930" w:rsidRPr="0040496A" w:rsidRDefault="0040496A" w:rsidP="0040496A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40496A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Maßnahmen gegen elektrostatische Aufladung treffen.</w:t>
            </w:r>
          </w:p>
          <w:p w14:paraId="23CB29DA" w14:textId="77777777" w:rsidR="00FA4F89" w:rsidRDefault="00FA4F89" w:rsidP="0052193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Schutzkleidung, Schutzbrille, Schutzhandschuhe (</w:t>
            </w:r>
            <w:r w:rsidR="0040496A" w:rsidRPr="0040496A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Butylkautschuk</w:t>
            </w:r>
            <w:r w:rsidR="0040496A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) tragen. </w:t>
            </w:r>
          </w:p>
          <w:p w14:paraId="4B552298" w14:textId="77777777" w:rsidR="0040496A" w:rsidRDefault="0040496A" w:rsidP="0052193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Hautschutz verwenden.</w:t>
            </w:r>
          </w:p>
          <w:p w14:paraId="15A1013F" w14:textId="5D68A574" w:rsidR="0040496A" w:rsidRPr="00521930" w:rsidRDefault="0040496A" w:rsidP="0052193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Unter dem Abzug arbeiten. 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187B55DF" w14:textId="77777777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57E9FAF3" w14:textId="4392F116" w:rsidR="00A86FAE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4780DFE" wp14:editId="6FA36655">
                  <wp:extent cx="494218" cy="496766"/>
                  <wp:effectExtent l="0" t="0" r="127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34" cy="51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7A245" w14:textId="2C5923A2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72B8CD59" w14:textId="36AAC4D2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504D7EEF" w14:textId="480B7E13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7BF08447" w14:textId="77777777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22C1A1F5" w14:textId="77777777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13F91D21" wp14:editId="56DF42FE">
                  <wp:extent cx="492760" cy="495300"/>
                  <wp:effectExtent l="0" t="0" r="254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7EC30" w14:textId="77777777" w:rsid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  <w:p w14:paraId="660BEC00" w14:textId="796EF989" w:rsidR="00CD74C2" w:rsidRPr="00CD74C2" w:rsidRDefault="00CD74C2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</w:tc>
      </w:tr>
      <w:tr w:rsidR="005614C2" w:rsidRPr="006838B1" w14:paraId="79BA252F" w14:textId="77777777" w:rsidTr="00CD74C2">
        <w:tc>
          <w:tcPr>
            <w:tcW w:w="766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CD6C96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   Verhalten im Gefahrenfall</w:t>
            </w:r>
          </w:p>
        </w:tc>
        <w:tc>
          <w:tcPr>
            <w:tcW w:w="254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CD6C96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Notruf: 112</w:t>
            </w:r>
          </w:p>
        </w:tc>
      </w:tr>
      <w:tr w:rsidR="00CD74C2" w:rsidRPr="006838B1" w14:paraId="097DDA49" w14:textId="77777777" w:rsidTr="00CD74C2">
        <w:trPr>
          <w:trHeight w:val="961"/>
        </w:trPr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56CAC4E8" w:rsidR="00CD74C2" w:rsidRPr="00CD74C2" w:rsidRDefault="00CD74C2" w:rsidP="00CD74C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F3F4F" wp14:editId="423CBE3F">
                  <wp:extent cx="514350" cy="511810"/>
                  <wp:effectExtent l="0" t="0" r="0" b="254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7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56E8A8F3" w14:textId="42D2A3DC" w:rsidR="00521930" w:rsidRPr="00521930" w:rsidRDefault="003C2D28" w:rsidP="003632EA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Verschütte Flüssigkeiten: </w:t>
            </w:r>
            <w:r w:rsidR="00521930" w:rsidRPr="00F50C9D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Mit flüssigkeitsbindendem Material (Sand, Kieselgur, Säurebinder, Universalbinder) aufnehmen.</w:t>
            </w:r>
            <w:r w:rsidR="003B7B55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Der </w:t>
            </w:r>
            <w:r w:rsidR="003B7B55" w:rsidRPr="003B7B55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Entsorgung zuführen.</w:t>
            </w:r>
            <w:r w:rsidR="003B7B55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</w:t>
            </w:r>
            <w:r w:rsidR="003B7B55" w:rsidRPr="003B7B55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Lüftung umgehend einleiten, ggf. Atemschutz trage</w:t>
            </w:r>
            <w:r w:rsidR="003B7B55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n.</w:t>
            </w:r>
          </w:p>
          <w:p w14:paraId="2C426087" w14:textId="6ED224ED" w:rsidR="00CD74C2" w:rsidRPr="00CD74C2" w:rsidRDefault="0055111B" w:rsidP="00CD74C2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6B748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Brandbekämpfung: </w:t>
            </w:r>
            <w:r w:rsidRPr="006B7489">
              <w:rPr>
                <w:rFonts w:ascii="Calibri" w:hAnsi="Calibri" w:cs="Arial"/>
                <w:sz w:val="20"/>
                <w:szCs w:val="20"/>
              </w:rPr>
              <w:t xml:space="preserve">Löschmaßnahmen auf die Umgebung abstimmen. </w:t>
            </w:r>
            <w:r w:rsidR="00E8677A" w:rsidRPr="00E8677A">
              <w:rPr>
                <w:rFonts w:ascii="Calibri" w:hAnsi="Calibri" w:cs="Arial"/>
                <w:sz w:val="20"/>
                <w:szCs w:val="20"/>
              </w:rPr>
              <w:t>Nur Entstehungsbrände selbst löschen – sonst sofort Raum verlassen, Nachbarbereiche</w:t>
            </w:r>
            <w:r w:rsidR="006E3945">
              <w:rPr>
                <w:rFonts w:ascii="Calibri" w:hAnsi="Calibri" w:cs="Arial"/>
                <w:sz w:val="20"/>
                <w:szCs w:val="20"/>
              </w:rPr>
              <w:t xml:space="preserve"> warnen</w:t>
            </w:r>
            <w:r w:rsidR="00E8677A" w:rsidRPr="00E8677A">
              <w:rPr>
                <w:rFonts w:ascii="Calibri" w:hAnsi="Calibri" w:cs="Arial"/>
                <w:sz w:val="20"/>
                <w:szCs w:val="20"/>
              </w:rPr>
              <w:t xml:space="preserve"> und Feuerwehr rufen</w:t>
            </w:r>
            <w:r w:rsidR="00E8677A">
              <w:rPr>
                <w:rFonts w:ascii="Calibri" w:hAnsi="Calibri" w:cs="Arial"/>
                <w:sz w:val="20"/>
                <w:szCs w:val="20"/>
              </w:rPr>
              <w:t>.</w:t>
            </w:r>
            <w:r w:rsidR="00CD74C2" w:rsidRPr="00CD74C2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5614C2" w:rsidRPr="006838B1" w14:paraId="48665C08" w14:textId="77777777" w:rsidTr="00CD74C2">
        <w:tc>
          <w:tcPr>
            <w:tcW w:w="766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CD6C96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Erste Hilfe</w:t>
            </w:r>
          </w:p>
        </w:tc>
        <w:tc>
          <w:tcPr>
            <w:tcW w:w="254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CD6C96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Notruf: 112</w:t>
            </w:r>
          </w:p>
        </w:tc>
      </w:tr>
      <w:tr w:rsidR="005614C2" w:rsidRPr="006838B1" w14:paraId="1199C2AF" w14:textId="77777777" w:rsidTr="00CD74C2"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77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3A11DB06" w14:textId="5A0C350E" w:rsidR="003B5855" w:rsidRPr="003632EA" w:rsidRDefault="003B5855" w:rsidP="00E7698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b/>
                <w:sz w:val="20"/>
                <w:szCs w:val="20"/>
              </w:rPr>
              <w:t>Bei allen Erste-Hilfe-Maßnahmen Selbstschutz beachten!</w:t>
            </w:r>
          </w:p>
          <w:p w14:paraId="4782ECBF" w14:textId="012F4E30" w:rsidR="00E7698D" w:rsidRPr="00CD74C2" w:rsidRDefault="00E7698D" w:rsidP="00E7698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Nach Verschlucke: </w:t>
            </w:r>
            <w:r w:rsidR="00CD74C2" w:rsidRPr="00CD74C2">
              <w:rPr>
                <w:rFonts w:ascii="Calibri" w:hAnsi="Calibri"/>
                <w:sz w:val="20"/>
                <w:szCs w:val="20"/>
              </w:rPr>
              <w:t xml:space="preserve">Mund mit Wasser ausspülen (nur wenn Verunfallter bei </w:t>
            </w:r>
            <w:proofErr w:type="spellStart"/>
            <w:r w:rsidR="00CD74C2" w:rsidRPr="00CD74C2">
              <w:rPr>
                <w:rFonts w:ascii="Calibri" w:hAnsi="Calibri"/>
                <w:sz w:val="20"/>
                <w:szCs w:val="20"/>
              </w:rPr>
              <w:t>Bewusstsein</w:t>
            </w:r>
            <w:proofErr w:type="spellEnd"/>
            <w:r w:rsidR="00CD74C2" w:rsidRPr="00CD74C2">
              <w:rPr>
                <w:rFonts w:ascii="Calibri" w:hAnsi="Calibri"/>
                <w:sz w:val="20"/>
                <w:szCs w:val="20"/>
              </w:rPr>
              <w:t xml:space="preserve"> ist). Arzt anrufen.</w:t>
            </w:r>
          </w:p>
          <w:p w14:paraId="0CA95EAE" w14:textId="75812AC1" w:rsidR="00D14EFB" w:rsidRPr="00445E29" w:rsidRDefault="00D14EFB" w:rsidP="00D14EF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Augenkontakt</w:t>
            </w:r>
            <w:r w:rsidR="00445E29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445E29" w:rsidRPr="00445E29">
              <w:rPr>
                <w:rFonts w:ascii="Calibri" w:hAnsi="Calibri"/>
                <w:sz w:val="20"/>
                <w:szCs w:val="20"/>
              </w:rPr>
              <w:t>Augenlider geöffnet halten und mindestens 10 Minuten lang reichlich mit sauberem, fließendem Wasser spülen. Eventuell vorhandene Kontaktlinsen nach Möglichkeit entfernen</w:t>
            </w:r>
            <w:r w:rsidR="00445E29">
              <w:rPr>
                <w:rFonts w:ascii="Calibri" w:hAnsi="Calibri"/>
                <w:sz w:val="20"/>
                <w:szCs w:val="20"/>
              </w:rPr>
              <w:t xml:space="preserve">. Weiter spülen. </w:t>
            </w:r>
            <w:r w:rsidR="00445E29" w:rsidRPr="00445E29">
              <w:rPr>
                <w:rFonts w:ascii="Calibri" w:hAnsi="Calibri"/>
                <w:sz w:val="20"/>
                <w:szCs w:val="20"/>
              </w:rPr>
              <w:t>Bei Augenreizung einen Augenarzt aufsuchen</w:t>
            </w:r>
            <w:r w:rsidR="00B240DC">
              <w:rPr>
                <w:rFonts w:ascii="Calibri" w:hAnsi="Calibri"/>
                <w:sz w:val="20"/>
                <w:szCs w:val="20"/>
              </w:rPr>
              <w:t>.</w:t>
            </w:r>
          </w:p>
          <w:p w14:paraId="4EE19484" w14:textId="035B47A8" w:rsidR="003632EA" w:rsidRDefault="00D14EFB" w:rsidP="001E7A9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Hautkontakt: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45E29" w:rsidRPr="00445E29">
              <w:rPr>
                <w:rFonts w:ascii="Calibri" w:hAnsi="Calibri"/>
                <w:sz w:val="20"/>
                <w:szCs w:val="20"/>
              </w:rPr>
              <w:t>Kontaminierte Kleidung ausziehen.</w:t>
            </w:r>
            <w:r w:rsidR="00445E2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45E29" w:rsidRPr="00445E29">
              <w:rPr>
                <w:rFonts w:ascii="Calibri" w:hAnsi="Calibri"/>
                <w:sz w:val="20"/>
                <w:szCs w:val="20"/>
              </w:rPr>
              <w:t>Haut mit Wasser abwaschen/duschen. Bei Auftreten von Beschwerden oder in Zweifelsfällen ärztlichen Rat einholen</w:t>
            </w:r>
            <w:r w:rsidR="00445E29">
              <w:rPr>
                <w:rFonts w:ascii="Calibri" w:hAnsi="Calibri"/>
                <w:sz w:val="20"/>
                <w:szCs w:val="20"/>
              </w:rPr>
              <w:t>.</w:t>
            </w:r>
          </w:p>
          <w:p w14:paraId="5477EA1E" w14:textId="26402514" w:rsidR="0055111B" w:rsidRPr="003632EA" w:rsidRDefault="00D14EFB" w:rsidP="001E7A9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Einatmen: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74C2" w:rsidRPr="00CD74C2">
              <w:rPr>
                <w:rFonts w:ascii="Calibri" w:hAnsi="Calibri"/>
                <w:sz w:val="20"/>
                <w:szCs w:val="20"/>
              </w:rPr>
              <w:t>Für Frischluft sorgen. Bei Auftreten von Beschwerden oder in Zweifelsfällen ärztlichen Rat einholen.</w:t>
            </w:r>
          </w:p>
          <w:p w14:paraId="29B92DAA" w14:textId="2B8D8282" w:rsidR="00175C00" w:rsidRPr="003632EA" w:rsidRDefault="00513791" w:rsidP="0055111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Unfallanzeige ausfüllen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>.</w:t>
            </w:r>
            <w:r w:rsidR="0055111B"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3632EA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3632EA" w:rsidRDefault="00175C00" w:rsidP="00175C00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6BF4E39C" w14:textId="62868BC0" w:rsidR="00803261" w:rsidRPr="003632EA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3632EA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3632EA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3632E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3632EA" w:rsidRDefault="00803261" w:rsidP="00803261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476056B2" w14:textId="299B2B71" w:rsidR="00803261" w:rsidRPr="003632EA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5EAB464" w14:textId="77777777" w:rsidR="00803261" w:rsidRPr="003632EA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3632EA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225824AB" w14:textId="77777777" w:rsidR="00803261" w:rsidRPr="003632EA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66291C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3632EA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1E7D76" w:rsidRPr="006838B1" w14:paraId="5400A7A2" w14:textId="77777777" w:rsidTr="00CD74C2">
        <w:tc>
          <w:tcPr>
            <w:tcW w:w="10206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CD74C2">
        <w:trPr>
          <w:trHeight w:val="7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76354C9B" w14:textId="77777777" w:rsidR="00FA4F89" w:rsidRPr="00FA4F89" w:rsidRDefault="00FA4F89" w:rsidP="00FA4F89">
            <w:pPr>
              <w:pStyle w:val="Listenabsatz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Abfälle nicht über den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Abfluss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entsorgen.</w:t>
            </w:r>
          </w:p>
          <w:p w14:paraId="69A2B37F" w14:textId="77777777" w:rsidR="00FA4F89" w:rsidRPr="00FA4F89" w:rsidRDefault="00FA4F89" w:rsidP="00FA4F89">
            <w:pPr>
              <w:pStyle w:val="Listenabsatz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FA4F89">
              <w:rPr>
                <w:rFonts w:ascii="Calibri" w:hAnsi="Calibri"/>
                <w:sz w:val="20"/>
                <w:szCs w:val="20"/>
              </w:rPr>
              <w:t>Abfälle in verschließbaren gekennzeichneten Gefäßen sammeln und mit dem Entsorgungszentrum der TU Kontakt aufnehmen, Tel.: 24700.</w:t>
            </w:r>
          </w:p>
          <w:p w14:paraId="5BBBD7C5" w14:textId="77777777" w:rsidR="00FA4F89" w:rsidRDefault="00FA4F89" w:rsidP="00FA4F89">
            <w:pPr>
              <w:pStyle w:val="Listenabsatz"/>
              <w:ind w:left="1069"/>
              <w:rPr>
                <w:rFonts w:ascii="Calibri" w:hAnsi="Calibri"/>
                <w:sz w:val="18"/>
                <w:szCs w:val="18"/>
              </w:rPr>
            </w:pPr>
          </w:p>
          <w:p w14:paraId="06513306" w14:textId="38E8F2EA" w:rsidR="00FA4F89" w:rsidRPr="00FA4F89" w:rsidRDefault="00FA4F89" w:rsidP="00FA4F89">
            <w:pPr>
              <w:pStyle w:val="Listenabsatz"/>
              <w:ind w:left="1069"/>
              <w:rPr>
                <w:rFonts w:ascii="Calibri" w:hAnsi="Calibri"/>
                <w:sz w:val="18"/>
                <w:szCs w:val="18"/>
              </w:rPr>
            </w:pPr>
          </w:p>
        </w:tc>
      </w:tr>
      <w:tr w:rsidR="005614C2" w:rsidRPr="006838B1" w14:paraId="21A43B41" w14:textId="77777777" w:rsidTr="00CD74C2">
        <w:trPr>
          <w:trHeight w:val="4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43F1EF1D" w:rsidR="004E663C" w:rsidRPr="003632EA" w:rsidRDefault="005D6284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Datum:</w:t>
            </w:r>
          </w:p>
        </w:tc>
        <w:tc>
          <w:tcPr>
            <w:tcW w:w="4262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3632EA" w:rsidRDefault="004E663C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4A9427DB" w:rsidR="004E663C" w:rsidRPr="003632EA" w:rsidRDefault="005D6284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179F5E40" w14:textId="57EF8B40" w:rsidR="00CD6C96" w:rsidRPr="00CD6C96" w:rsidRDefault="00CD6C96" w:rsidP="00CD6C96">
      <w:pPr>
        <w:tabs>
          <w:tab w:val="left" w:pos="846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CD6C96" w:rsidRPr="00CD6C96" w:rsidSect="00BA692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14BD9F97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r w:rsidR="0055111B">
      <w:rPr>
        <w:sz w:val="16"/>
        <w:szCs w:val="16"/>
      </w:rPr>
      <w:tab/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 xml:space="preserve">, V. Reis </w:t>
    </w:r>
    <w:r w:rsidR="00CD6C96">
      <w:rPr>
        <w:sz w:val="16"/>
        <w:szCs w:val="16"/>
      </w:rPr>
      <w:t>Juni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E7349"/>
    <w:multiLevelType w:val="hybridMultilevel"/>
    <w:tmpl w:val="EF6EFFA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A001D"/>
    <w:rsid w:val="000E223E"/>
    <w:rsid w:val="001024A2"/>
    <w:rsid w:val="0012459F"/>
    <w:rsid w:val="00175C00"/>
    <w:rsid w:val="001A6ECC"/>
    <w:rsid w:val="001E7D76"/>
    <w:rsid w:val="003632EA"/>
    <w:rsid w:val="00366ED2"/>
    <w:rsid w:val="003B5855"/>
    <w:rsid w:val="003B7B55"/>
    <w:rsid w:val="003C2D28"/>
    <w:rsid w:val="0040496A"/>
    <w:rsid w:val="004249D5"/>
    <w:rsid w:val="00445E29"/>
    <w:rsid w:val="004E663C"/>
    <w:rsid w:val="00513791"/>
    <w:rsid w:val="00521930"/>
    <w:rsid w:val="00537035"/>
    <w:rsid w:val="0055111B"/>
    <w:rsid w:val="005614C2"/>
    <w:rsid w:val="005907D4"/>
    <w:rsid w:val="005A7C92"/>
    <w:rsid w:val="005D6284"/>
    <w:rsid w:val="0066291C"/>
    <w:rsid w:val="006838B1"/>
    <w:rsid w:val="006A3237"/>
    <w:rsid w:val="006B7489"/>
    <w:rsid w:val="006E3945"/>
    <w:rsid w:val="0070530A"/>
    <w:rsid w:val="00792657"/>
    <w:rsid w:val="007B3126"/>
    <w:rsid w:val="007C0288"/>
    <w:rsid w:val="007E0B99"/>
    <w:rsid w:val="007F3C2A"/>
    <w:rsid w:val="00803261"/>
    <w:rsid w:val="00830BA0"/>
    <w:rsid w:val="008629E0"/>
    <w:rsid w:val="008A006A"/>
    <w:rsid w:val="008D6FC5"/>
    <w:rsid w:val="00A53783"/>
    <w:rsid w:val="00A86FAE"/>
    <w:rsid w:val="00B10FBC"/>
    <w:rsid w:val="00B240DC"/>
    <w:rsid w:val="00B2449D"/>
    <w:rsid w:val="00BA6923"/>
    <w:rsid w:val="00BC748B"/>
    <w:rsid w:val="00CB48F4"/>
    <w:rsid w:val="00CC26C9"/>
    <w:rsid w:val="00CD6C96"/>
    <w:rsid w:val="00CD74C2"/>
    <w:rsid w:val="00D14EFB"/>
    <w:rsid w:val="00DB6A14"/>
    <w:rsid w:val="00DD2AC5"/>
    <w:rsid w:val="00E10B3B"/>
    <w:rsid w:val="00E206A8"/>
    <w:rsid w:val="00E20F4B"/>
    <w:rsid w:val="00E2600A"/>
    <w:rsid w:val="00E7698D"/>
    <w:rsid w:val="00E8677A"/>
    <w:rsid w:val="00EA39ED"/>
    <w:rsid w:val="00EA74C5"/>
    <w:rsid w:val="00EE74B5"/>
    <w:rsid w:val="00F44C57"/>
    <w:rsid w:val="00F50794"/>
    <w:rsid w:val="00F50C9D"/>
    <w:rsid w:val="00FA4F89"/>
    <w:rsid w:val="00FB58A3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  <w:style w:type="paragraph" w:customStyle="1" w:styleId="Default">
    <w:name w:val="Default"/>
    <w:rsid w:val="00E7698D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10</cp:revision>
  <dcterms:created xsi:type="dcterms:W3CDTF">2020-06-08T07:39:00Z</dcterms:created>
  <dcterms:modified xsi:type="dcterms:W3CDTF">2020-06-08T15:18:00Z</dcterms:modified>
</cp:coreProperties>
</file>