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996"/>
      </w:tblGrid>
      <w:tr w:rsidR="00B02297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0270CDDE" w:rsidR="0063200C" w:rsidRPr="00C427F9" w:rsidRDefault="00114358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Halogenhaltige Titan</w:t>
            </w:r>
            <w:r w:rsidR="00E36C32">
              <w:rPr>
                <w:rFonts w:asciiTheme="minorHAnsi" w:hAnsiTheme="minorHAnsi" w:cstheme="minorHAnsi"/>
                <w:sz w:val="32"/>
                <w:szCs w:val="32"/>
              </w:rPr>
              <w:t>(IV)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verbindungen</w:t>
            </w:r>
            <w:proofErr w:type="spellEnd"/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B02297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072B038" w14:textId="7551D91D" w:rsidR="00A32615" w:rsidRDefault="00B02297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60032A24" wp14:editId="7474839D">
                  <wp:extent cx="508635" cy="508635"/>
                  <wp:effectExtent l="0" t="0" r="5715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38" cy="51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E9016" w14:textId="3F58B963" w:rsidR="009B0B71" w:rsidRPr="007E0B99" w:rsidRDefault="009B0B71" w:rsidP="0063200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65548D1" w14:textId="0143656B" w:rsidR="00B02297" w:rsidRPr="00B02297" w:rsidRDefault="00B02297" w:rsidP="00B02297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02297">
              <w:rPr>
                <w:rFonts w:ascii="Calibri" w:hAnsi="Calibri"/>
                <w:sz w:val="18"/>
                <w:szCs w:val="18"/>
              </w:rPr>
              <w:t>Verursacht schwere Verätzungen der Haut und schwere Augenschäden.</w:t>
            </w:r>
          </w:p>
          <w:p w14:paraId="00D74C34" w14:textId="119661A9" w:rsidR="00B02297" w:rsidRPr="00B02297" w:rsidRDefault="00B02297" w:rsidP="00B02297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02297">
              <w:rPr>
                <w:rFonts w:ascii="Calibri" w:hAnsi="Calibri"/>
                <w:sz w:val="18"/>
                <w:szCs w:val="18"/>
              </w:rPr>
              <w:t>Lebensgefahr bei Einatmen.</w:t>
            </w:r>
          </w:p>
          <w:p w14:paraId="5E9304EF" w14:textId="512D552E" w:rsidR="00B02297" w:rsidRPr="00B02297" w:rsidRDefault="00B02297" w:rsidP="00B02297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02297">
              <w:rPr>
                <w:rFonts w:ascii="Calibri" w:hAnsi="Calibri"/>
                <w:sz w:val="18"/>
                <w:szCs w:val="18"/>
              </w:rPr>
              <w:t>Kann die Atemwege reizen.</w:t>
            </w:r>
          </w:p>
          <w:p w14:paraId="2B45B254" w14:textId="5329A14F" w:rsidR="00B3196F" w:rsidRPr="00131C13" w:rsidRDefault="00B02297" w:rsidP="00B02297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02297">
              <w:rPr>
                <w:rFonts w:ascii="Calibri" w:hAnsi="Calibri"/>
                <w:sz w:val="18"/>
                <w:szCs w:val="18"/>
              </w:rPr>
              <w:t>Reagiert heftig mit Wasser.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48092804" w:rsidR="0063200C" w:rsidRPr="00A53783" w:rsidRDefault="00B02297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250F753" wp14:editId="2BA3028F">
                  <wp:extent cx="490268" cy="490268"/>
                  <wp:effectExtent l="0" t="0" r="508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01" cy="501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B02297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2F526B83" w14:textId="77777777" w:rsidR="00A32615" w:rsidRDefault="00B02297" w:rsidP="00B02297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0229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Löschwasser nicht ins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  <w:r w:rsidRPr="00B0229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Oberflächenwasser oder Grundwassersystem gelangen lassen.</w:t>
            </w:r>
          </w:p>
          <w:p w14:paraId="7B4296AC" w14:textId="72C0BE5F" w:rsidR="00D9456C" w:rsidRDefault="00D9456C" w:rsidP="00D945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D945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Arbeiten unter Abzug vornehmen. </w:t>
            </w:r>
          </w:p>
          <w:p w14:paraId="3C7B432D" w14:textId="6803BEEF" w:rsidR="00B02297" w:rsidRPr="00D9456C" w:rsidRDefault="00D9456C" w:rsidP="00D945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D945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Entwicklung von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  <w:r w:rsidRPr="00D945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Dämpfen/Aerosolen vermeiden.</w:t>
            </w:r>
          </w:p>
          <w:p w14:paraId="7C0DEC09" w14:textId="558DD041" w:rsidR="00B02297" w:rsidRPr="00B02297" w:rsidRDefault="00B02297" w:rsidP="00B02297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0229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Dampf/ Aerosol nicht einatmen.</w:t>
            </w:r>
          </w:p>
          <w:p w14:paraId="271E678A" w14:textId="77777777" w:rsidR="00B02297" w:rsidRDefault="00B02297" w:rsidP="00B02297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0229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Substanzkontakt vermeiden. </w:t>
            </w:r>
          </w:p>
          <w:p w14:paraId="6EFB72AA" w14:textId="77777777" w:rsidR="00B02297" w:rsidRDefault="00B02297" w:rsidP="00B02297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0229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Für angemessene Lüftung sorgen.</w:t>
            </w:r>
          </w:p>
          <w:p w14:paraId="26B8766B" w14:textId="77777777" w:rsidR="00B02297" w:rsidRDefault="00B02297" w:rsidP="00B02297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0229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Dicht verschlossen. An einem gut belüfteten Ort aufbewahren. Unter </w:t>
            </w:r>
            <w:proofErr w:type="spellStart"/>
            <w:r w:rsidRPr="00B0229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Verschluss</w:t>
            </w:r>
            <w:proofErr w:type="spellEnd"/>
            <w:r w:rsidRPr="00B0229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oder nur für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  <w:r w:rsidRPr="00B0229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Sachkundige oder deren Beauftragte zugänglich aufbewahren.</w:t>
            </w:r>
          </w:p>
          <w:p w14:paraId="0B07ED40" w14:textId="77777777" w:rsidR="00D9456C" w:rsidRDefault="00D9456C" w:rsidP="00B02297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Schutzhandschuhe aus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Nitrilkautschuk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Schutzbrille und Laborkittel tragen.</w:t>
            </w:r>
          </w:p>
          <w:p w14:paraId="4C989078" w14:textId="4785A44E" w:rsidR="00D9456C" w:rsidRPr="00D9456C" w:rsidRDefault="00D9456C" w:rsidP="00D945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Ein Atemschutz ist </w:t>
            </w:r>
            <w:r w:rsidRPr="00D945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 Auftreten von Dämpfen/Aerosolen</w:t>
            </w:r>
            <w:r w:rsidRPr="00D945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  <w:r w:rsidRPr="00D945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erforderlich.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  <w:r w:rsidRPr="00D945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Empfohlener Filtertyp: Filter B-(</w:t>
            </w:r>
            <w:proofErr w:type="spellStart"/>
            <w:r w:rsidRPr="00D945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P2</w:t>
            </w:r>
            <w:proofErr w:type="spellEnd"/>
            <w:r w:rsidRPr="00D945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50AD4C20" w14:textId="216DBDA6" w:rsid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15789" w14:textId="77777777" w:rsidR="00C427F9" w:rsidRPr="00C427F9" w:rsidRDefault="00C427F9" w:rsidP="003145BE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660BEC00" w14:textId="5F135069" w:rsidR="00C427F9" w:rsidRPr="003145BE" w:rsidRDefault="00C427F9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300C05D" wp14:editId="43C96D2A">
                  <wp:extent cx="485539" cy="485539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911" cy="51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297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8940F3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54333ED1" w:rsidR="008F550D" w:rsidRPr="002B5B06" w:rsidRDefault="0025102B" w:rsidP="002B5B06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8F550D" w:rsidRPr="007D0436">
              <w:rPr>
                <w:rFonts w:ascii="Calibri" w:hAnsi="Calibri" w:cs="Arial"/>
                <w:sz w:val="18"/>
                <w:szCs w:val="18"/>
              </w:rPr>
              <w:t>Laborleitung hinzuziehen.</w:t>
            </w:r>
            <w:r w:rsidR="002A52C3">
              <w:rPr>
                <w:rFonts w:ascii="Calibri" w:hAnsi="Calibri" w:cs="Arial"/>
                <w:sz w:val="18"/>
                <w:szCs w:val="18"/>
              </w:rPr>
              <w:t xml:space="preserve"> Dämpfe /Aerosole nicht einatmen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>. Für angemessene Lüftung sorgen.</w:t>
            </w:r>
            <w:r w:rsidR="002B5B06">
              <w:rPr>
                <w:rFonts w:ascii="Calibri" w:hAnsi="Calibri" w:cs="Arial"/>
                <w:sz w:val="18"/>
                <w:szCs w:val="18"/>
              </w:rPr>
              <w:t xml:space="preserve"> Unter Nutzung von persönlicher Schutzausrüstung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5B06" w:rsidRPr="002B5B06">
              <w:rPr>
                <w:rFonts w:ascii="Calibri" w:hAnsi="Calibri" w:cs="Arial"/>
                <w:sz w:val="18"/>
                <w:szCs w:val="18"/>
              </w:rPr>
              <w:t>v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erschüttete </w:t>
            </w:r>
            <w:r w:rsidR="00C427F9">
              <w:rPr>
                <w:rFonts w:ascii="Calibri" w:hAnsi="Calibri" w:cs="Arial"/>
                <w:sz w:val="18"/>
                <w:szCs w:val="18"/>
              </w:rPr>
              <w:t>Substanz</w:t>
            </w:r>
            <w:r w:rsidR="003A5854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>vorsichtig</w:t>
            </w:r>
            <w:r w:rsidR="005E0BA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aufnehmen und in beständigen, verschließbaren und gekennzeichneten Gefäßen sammeln und dem Entsorgungszentrum der TU Darmstadt zuführen. </w:t>
            </w:r>
          </w:p>
          <w:p w14:paraId="4F01D3B6" w14:textId="518F5CB0" w:rsidR="002A52C3" w:rsidRDefault="0063200C" w:rsidP="002A52C3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D5031">
              <w:rPr>
                <w:rFonts w:ascii="Calibri" w:hAnsi="Calibri" w:cs="Arial"/>
                <w:sz w:val="18"/>
                <w:szCs w:val="18"/>
              </w:rPr>
              <w:t xml:space="preserve">Löschpulver </w:t>
            </w:r>
          </w:p>
          <w:p w14:paraId="4C142953" w14:textId="77777777" w:rsidR="0063200C" w:rsidRDefault="0063200C" w:rsidP="002A52C3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  <w:r w:rsidR="002A52C3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C426087" w14:textId="68D2FBB3" w:rsidR="002A52C3" w:rsidRPr="002A52C3" w:rsidRDefault="002A52C3" w:rsidP="002A52C3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A52C3">
              <w:rPr>
                <w:rFonts w:ascii="Calibri" w:hAnsi="Calibri" w:cs="Arial"/>
                <w:b/>
                <w:bCs/>
                <w:sz w:val="18"/>
                <w:szCs w:val="18"/>
              </w:rPr>
              <w:t>Besondere Gefahren</w:t>
            </w:r>
            <w:r w:rsidRPr="002A52C3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330494" w:rsidRPr="00330494">
              <w:rPr>
                <w:rFonts w:ascii="Calibri" w:hAnsi="Calibri" w:cs="Arial"/>
                <w:sz w:val="18"/>
                <w:szCs w:val="18"/>
              </w:rPr>
              <w:t>Entstehung von giftigen Gasen</w:t>
            </w:r>
            <w:r w:rsidR="0033049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B02297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8940F3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102CFF50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 xml:space="preserve">Einige Minuten lang behutsam mit Wasser ausspülen. </w:t>
            </w:r>
            <w:r w:rsidR="00315680" w:rsidRPr="00315680">
              <w:rPr>
                <w:rFonts w:ascii="Calibri" w:hAnsi="Calibri"/>
                <w:sz w:val="18"/>
                <w:szCs w:val="18"/>
              </w:rPr>
              <w:t>Kontaktlinsen entfernen</w:t>
            </w:r>
            <w:r w:rsidR="00315680">
              <w:rPr>
                <w:rFonts w:ascii="Calibri" w:hAnsi="Calibri"/>
                <w:sz w:val="18"/>
                <w:szCs w:val="18"/>
              </w:rPr>
              <w:t>. Är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>ztlichen Rat einholen.</w:t>
            </w:r>
          </w:p>
          <w:p w14:paraId="0F668673" w14:textId="099ABC0D" w:rsidR="0063200C" w:rsidRPr="00315680" w:rsidRDefault="0063200C" w:rsidP="00315680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315680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31568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15680" w:rsidRPr="00315680">
              <w:rPr>
                <w:rFonts w:ascii="Calibri" w:hAnsi="Calibri"/>
                <w:sz w:val="18"/>
                <w:szCs w:val="18"/>
              </w:rPr>
              <w:t xml:space="preserve">Alle kontaminierten Kleidungsstücke sofort ausziehen.  </w:t>
            </w:r>
            <w:r w:rsidR="00EB6AED" w:rsidRPr="00315680">
              <w:rPr>
                <w:rFonts w:ascii="Calibri" w:hAnsi="Calibri"/>
                <w:sz w:val="18"/>
                <w:szCs w:val="18"/>
              </w:rPr>
              <w:t>Haut mit Wasser abwaschen/duschen.</w:t>
            </w:r>
            <w:r w:rsidR="00315680" w:rsidRPr="0031568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15680">
              <w:rPr>
                <w:rFonts w:ascii="Calibri" w:hAnsi="Calibri"/>
                <w:sz w:val="18"/>
                <w:szCs w:val="18"/>
              </w:rPr>
              <w:t>B</w:t>
            </w:r>
            <w:r w:rsidR="00315680" w:rsidRPr="00315680">
              <w:rPr>
                <w:rFonts w:ascii="Calibri" w:hAnsi="Calibri"/>
                <w:sz w:val="18"/>
                <w:szCs w:val="18"/>
              </w:rPr>
              <w:t>ei Unwohlsein Arzt konsultieren.</w:t>
            </w:r>
          </w:p>
          <w:p w14:paraId="057A7309" w14:textId="385AE2D5" w:rsidR="00EB6AED" w:rsidRPr="00EB6AED" w:rsidRDefault="0063200C" w:rsidP="00E91B98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EB6AED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 xml:space="preserve">Für Frischluft sorgen. </w:t>
            </w:r>
            <w:r w:rsidR="00315680" w:rsidRPr="00315680">
              <w:rPr>
                <w:rFonts w:ascii="Calibri" w:hAnsi="Calibri"/>
                <w:sz w:val="18"/>
                <w:szCs w:val="18"/>
              </w:rPr>
              <w:t>Bei Unwohlsein Arzt konsultieren.</w:t>
            </w:r>
          </w:p>
          <w:p w14:paraId="5794B616" w14:textId="77777777" w:rsidR="00315680" w:rsidRPr="00315680" w:rsidRDefault="0063200C" w:rsidP="00315680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315680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="00EB6AED" w:rsidRPr="00315680">
              <w:rPr>
                <w:rFonts w:ascii="Calibri" w:hAnsi="Calibri"/>
                <w:sz w:val="18"/>
                <w:szCs w:val="18"/>
              </w:rPr>
              <w:t xml:space="preserve">Mund ausspülen. </w:t>
            </w:r>
            <w:r w:rsidR="00315680" w:rsidRPr="00315680">
              <w:rPr>
                <w:rFonts w:ascii="Calibri" w:hAnsi="Calibri"/>
                <w:sz w:val="18"/>
                <w:szCs w:val="18"/>
              </w:rPr>
              <w:t>Wasser trinken lassen (maximal 2 Trinkgläser). Ärztlichen Rat einholen.</w:t>
            </w:r>
          </w:p>
          <w:p w14:paraId="67420CE0" w14:textId="7F1A55A9" w:rsidR="0063200C" w:rsidRPr="00B3196F" w:rsidRDefault="0063200C" w:rsidP="00315680">
            <w:pPr>
              <w:pStyle w:val="Listenabsatz"/>
              <w:ind w:left="360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B3196F" w:rsidRDefault="0063200C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B3196F" w:rsidRDefault="0063200C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65D7F075" w:rsidR="0063200C" w:rsidRPr="0012264E" w:rsidRDefault="002A52C3" w:rsidP="002A52C3">
            <w:pPr>
              <w:tabs>
                <w:tab w:val="left" w:pos="1138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63200C"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B3196F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2830AAB2" w:rsidR="0063200C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6E11419B" w14:textId="77777777" w:rsidR="002A52C3" w:rsidRPr="0012264E" w:rsidRDefault="002A52C3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B02297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5657C828" w:rsidR="002B5B06" w:rsidRPr="002B5B06" w:rsidRDefault="00513791" w:rsidP="00C427F9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B5B06">
        <w:rPr>
          <w:rFonts w:ascii="Calibri" w:hAnsi="Calibri"/>
        </w:rPr>
        <w:tab/>
      </w:r>
    </w:p>
    <w:sectPr w:rsidR="002B5B06" w:rsidRPr="002B5B06" w:rsidSect="00BA692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B256A"/>
    <w:rsid w:val="000D0D58"/>
    <w:rsid w:val="000E223E"/>
    <w:rsid w:val="0010561D"/>
    <w:rsid w:val="00113DD6"/>
    <w:rsid w:val="00114358"/>
    <w:rsid w:val="0012264E"/>
    <w:rsid w:val="0012459F"/>
    <w:rsid w:val="00131C13"/>
    <w:rsid w:val="00146343"/>
    <w:rsid w:val="00175C00"/>
    <w:rsid w:val="001A6ECC"/>
    <w:rsid w:val="001E000F"/>
    <w:rsid w:val="002305DB"/>
    <w:rsid w:val="00242626"/>
    <w:rsid w:val="0025102B"/>
    <w:rsid w:val="002951B2"/>
    <w:rsid w:val="002A52C3"/>
    <w:rsid w:val="002B5B06"/>
    <w:rsid w:val="0031007E"/>
    <w:rsid w:val="003145BE"/>
    <w:rsid w:val="00315680"/>
    <w:rsid w:val="00330494"/>
    <w:rsid w:val="00366ED2"/>
    <w:rsid w:val="00375848"/>
    <w:rsid w:val="003A5854"/>
    <w:rsid w:val="003C2263"/>
    <w:rsid w:val="004249D5"/>
    <w:rsid w:val="004334C8"/>
    <w:rsid w:val="00433A96"/>
    <w:rsid w:val="004C4082"/>
    <w:rsid w:val="004D5031"/>
    <w:rsid w:val="004E663C"/>
    <w:rsid w:val="00513791"/>
    <w:rsid w:val="00537035"/>
    <w:rsid w:val="005A3129"/>
    <w:rsid w:val="005A7C92"/>
    <w:rsid w:val="005B65A5"/>
    <w:rsid w:val="005E0BA2"/>
    <w:rsid w:val="006103C9"/>
    <w:rsid w:val="00621749"/>
    <w:rsid w:val="00631978"/>
    <w:rsid w:val="0063200C"/>
    <w:rsid w:val="00644473"/>
    <w:rsid w:val="0067439C"/>
    <w:rsid w:val="006838B1"/>
    <w:rsid w:val="006A3237"/>
    <w:rsid w:val="0070530A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940F3"/>
    <w:rsid w:val="008A006A"/>
    <w:rsid w:val="008D6FC5"/>
    <w:rsid w:val="008F550D"/>
    <w:rsid w:val="00911989"/>
    <w:rsid w:val="009B0B71"/>
    <w:rsid w:val="009E553F"/>
    <w:rsid w:val="00A32615"/>
    <w:rsid w:val="00A53783"/>
    <w:rsid w:val="00B02297"/>
    <w:rsid w:val="00B10FBC"/>
    <w:rsid w:val="00B21DEB"/>
    <w:rsid w:val="00B2449D"/>
    <w:rsid w:val="00B3196F"/>
    <w:rsid w:val="00BA6923"/>
    <w:rsid w:val="00BB7BF4"/>
    <w:rsid w:val="00BC748B"/>
    <w:rsid w:val="00C30121"/>
    <w:rsid w:val="00C427F9"/>
    <w:rsid w:val="00CA210E"/>
    <w:rsid w:val="00CB48F4"/>
    <w:rsid w:val="00CC26C9"/>
    <w:rsid w:val="00D12D12"/>
    <w:rsid w:val="00D13B1D"/>
    <w:rsid w:val="00D24EE3"/>
    <w:rsid w:val="00D616EA"/>
    <w:rsid w:val="00D9456C"/>
    <w:rsid w:val="00DB6A14"/>
    <w:rsid w:val="00DD2AC5"/>
    <w:rsid w:val="00E16407"/>
    <w:rsid w:val="00E206A8"/>
    <w:rsid w:val="00E20F4B"/>
    <w:rsid w:val="00E2600A"/>
    <w:rsid w:val="00E36C32"/>
    <w:rsid w:val="00E531E7"/>
    <w:rsid w:val="00EB6AED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7</cp:revision>
  <dcterms:created xsi:type="dcterms:W3CDTF">2020-11-13T17:41:00Z</dcterms:created>
  <dcterms:modified xsi:type="dcterms:W3CDTF">2020-11-16T14:21:00Z</dcterms:modified>
</cp:coreProperties>
</file>