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25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77"/>
        <w:gridCol w:w="1512"/>
        <w:gridCol w:w="612"/>
        <w:gridCol w:w="3440"/>
        <w:gridCol w:w="573"/>
        <w:gridCol w:w="725"/>
        <w:gridCol w:w="1276"/>
        <w:gridCol w:w="25"/>
        <w:gridCol w:w="1019"/>
      </w:tblGrid>
      <w:tr w:rsidR="00361EA2" w:rsidRPr="006838B1" w14:paraId="0BDE8561" w14:textId="77777777" w:rsidTr="00461022">
        <w:trPr>
          <w:trHeight w:val="1037"/>
        </w:trPr>
        <w:tc>
          <w:tcPr>
            <w:tcW w:w="3201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56D8419A" w14:textId="77777777" w:rsidR="00E4764F" w:rsidRDefault="00E4764F" w:rsidP="00DB6A14">
            <w:pPr>
              <w:rPr>
                <w:rFonts w:ascii="Calibri" w:hAnsi="Calibri"/>
                <w:sz w:val="18"/>
                <w:szCs w:val="18"/>
              </w:rPr>
            </w:pPr>
          </w:p>
          <w:p w14:paraId="0FBDE3D6" w14:textId="7565A0D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0657FE49" w:rsidR="00E2600A" w:rsidRPr="00E4764F" w:rsidRDefault="00E2600A" w:rsidP="00DB6A1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4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617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B551AB">
        <w:trPr>
          <w:trHeight w:val="142"/>
        </w:trPr>
        <w:tc>
          <w:tcPr>
            <w:tcW w:w="10259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>Gefahrstoffbezeichnung</w:t>
            </w:r>
          </w:p>
        </w:tc>
      </w:tr>
      <w:tr w:rsidR="0063200C" w:rsidRPr="006838B1" w14:paraId="6BF194D1" w14:textId="77777777" w:rsidTr="00B551AB">
        <w:trPr>
          <w:trHeight w:val="416"/>
        </w:trPr>
        <w:tc>
          <w:tcPr>
            <w:tcW w:w="10259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221B023F" w:rsidR="00154A11" w:rsidRPr="00B551AB" w:rsidRDefault="00B551AB" w:rsidP="00B551AB">
            <w:pPr>
              <w:jc w:val="center"/>
              <w:rPr>
                <w:b/>
                <w:bCs/>
                <w:sz w:val="28"/>
                <w:szCs w:val="28"/>
                <w:lang w:eastAsia="de-DE"/>
              </w:rPr>
            </w:pPr>
            <w:r w:rsidRPr="00B551AB">
              <w:rPr>
                <w:b/>
                <w:bCs/>
                <w:sz w:val="28"/>
                <w:szCs w:val="28"/>
                <w:lang w:eastAsia="de-DE"/>
              </w:rPr>
              <w:t>Hochentzündliche Flüssiggase z.B. Propan, Propen</w:t>
            </w:r>
          </w:p>
        </w:tc>
      </w:tr>
      <w:tr w:rsidR="0063200C" w:rsidRPr="006838B1" w14:paraId="13CD52CF" w14:textId="77777777" w:rsidTr="00EF69D0">
        <w:trPr>
          <w:trHeight w:val="290"/>
        </w:trPr>
        <w:tc>
          <w:tcPr>
            <w:tcW w:w="10259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>Gefahren für Mensch und Umwelt</w:t>
            </w:r>
          </w:p>
        </w:tc>
      </w:tr>
      <w:tr w:rsidR="00361EA2" w:rsidRPr="006838B1" w14:paraId="3266990A" w14:textId="77777777" w:rsidTr="00EF69D0">
        <w:trPr>
          <w:trHeight w:val="1397"/>
        </w:trPr>
        <w:tc>
          <w:tcPr>
            <w:tcW w:w="107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6119BDD1" w:rsidR="00154A11" w:rsidRPr="00154A11" w:rsidRDefault="00361EA2" w:rsidP="00154A11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3393D6B7" wp14:editId="418EF1E2">
                  <wp:extent cx="477328" cy="477328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397" cy="487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1360B1A5" w14:textId="77777777" w:rsidR="00B551AB" w:rsidRDefault="00B551AB" w:rsidP="00B551AB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551AB">
              <w:rPr>
                <w:rFonts w:ascii="Calibri" w:hAnsi="Calibri"/>
                <w:sz w:val="18"/>
                <w:szCs w:val="18"/>
              </w:rPr>
              <w:t>Extrem entzündbares Gas.</w:t>
            </w:r>
          </w:p>
          <w:p w14:paraId="563D5EC6" w14:textId="77777777" w:rsidR="00154A11" w:rsidRDefault="00B551AB" w:rsidP="00B551AB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551AB">
              <w:rPr>
                <w:rFonts w:ascii="Calibri" w:hAnsi="Calibri"/>
                <w:sz w:val="18"/>
                <w:szCs w:val="18"/>
              </w:rPr>
              <w:t>Enthält Gas unter Druck; kann bei Erwärmung explodieren.</w:t>
            </w:r>
          </w:p>
          <w:p w14:paraId="0F226F4A" w14:textId="299B7EBE" w:rsidR="00B551AB" w:rsidRDefault="00B551AB" w:rsidP="00B551AB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551AB">
              <w:rPr>
                <w:rFonts w:ascii="Calibri" w:hAnsi="Calibri"/>
                <w:sz w:val="18"/>
                <w:szCs w:val="18"/>
              </w:rPr>
              <w:t>Gas/Dämpfe sind schwerer als Luft. Sie können sich in geschlossenen Räumen ansammeln,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551AB">
              <w:rPr>
                <w:rFonts w:ascii="Calibri" w:hAnsi="Calibri"/>
                <w:sz w:val="18"/>
                <w:szCs w:val="18"/>
              </w:rPr>
              <w:t>insbesondere am Fußboden oder in tiefergelegenen Bereichen.</w:t>
            </w:r>
          </w:p>
          <w:p w14:paraId="2E543DEA" w14:textId="77777777" w:rsidR="00B551AB" w:rsidRPr="00B551AB" w:rsidRDefault="00B551AB" w:rsidP="00B551AB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B551AB">
              <w:rPr>
                <w:rFonts w:ascii="Calibri" w:hAnsi="Calibri"/>
                <w:sz w:val="18"/>
                <w:szCs w:val="18"/>
              </w:rPr>
              <w:t>Kann</w:t>
            </w:r>
            <w:proofErr w:type="gramEnd"/>
            <w:r w:rsidRPr="00B551AB">
              <w:rPr>
                <w:rFonts w:ascii="Calibri" w:hAnsi="Calibri"/>
                <w:sz w:val="18"/>
                <w:szCs w:val="18"/>
              </w:rPr>
              <w:t xml:space="preserve"> mit Luft ein explosionsfähiges Gemisch bilden.</w:t>
            </w:r>
          </w:p>
          <w:p w14:paraId="2B45B254" w14:textId="1E1EBF7E" w:rsidR="00B551AB" w:rsidRPr="00B551AB" w:rsidRDefault="00B551AB" w:rsidP="00B551AB">
            <w:pPr>
              <w:pStyle w:val="Listenabsatz"/>
              <w:numPr>
                <w:ilvl w:val="0"/>
                <w:numId w:val="1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B551AB">
              <w:rPr>
                <w:rFonts w:ascii="Calibri" w:hAnsi="Calibri"/>
                <w:sz w:val="18"/>
                <w:szCs w:val="18"/>
              </w:rPr>
              <w:t>Kann</w:t>
            </w:r>
            <w:proofErr w:type="gramEnd"/>
            <w:r w:rsidRPr="00B551AB">
              <w:rPr>
                <w:rFonts w:ascii="Calibri" w:hAnsi="Calibri"/>
                <w:sz w:val="18"/>
                <w:szCs w:val="18"/>
              </w:rPr>
              <w:t xml:space="preserve"> mit brandfördernden Stoffen heftig reagieren.</w:t>
            </w:r>
          </w:p>
        </w:tc>
        <w:tc>
          <w:tcPr>
            <w:tcW w:w="1018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17CB3DD3" w:rsidR="00A62FB6" w:rsidRPr="00A62FB6" w:rsidRDefault="00A62FB6" w:rsidP="0063200C">
            <w:pPr>
              <w:pStyle w:val="Listenabsatz"/>
              <w:ind w:left="0"/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D98611C" wp14:editId="49FAFD3D">
                  <wp:extent cx="490538" cy="490538"/>
                  <wp:effectExtent l="0" t="0" r="5080" b="508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8" cy="49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00C" w:rsidRPr="006838B1" w14:paraId="052056E6" w14:textId="77777777" w:rsidTr="00EF69D0">
        <w:trPr>
          <w:trHeight w:val="279"/>
        </w:trPr>
        <w:tc>
          <w:tcPr>
            <w:tcW w:w="10259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>Schutzmaßnahmen und Verhaltensregeln</w:t>
            </w:r>
          </w:p>
        </w:tc>
      </w:tr>
      <w:tr w:rsidR="00361EA2" w:rsidRPr="006838B1" w14:paraId="7269A93E" w14:textId="77777777" w:rsidTr="00EF69D0">
        <w:trPr>
          <w:trHeight w:val="2395"/>
        </w:trPr>
        <w:tc>
          <w:tcPr>
            <w:tcW w:w="107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2E354B2D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2ED2E7D5" w14:textId="47B6EF24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001186F" wp14:editId="55134ACA">
                  <wp:extent cx="508919" cy="511476"/>
                  <wp:effectExtent l="0" t="0" r="571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19" cy="53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3CFBD" w14:textId="77777777" w:rsidR="003145BE" w:rsidRDefault="003145BE" w:rsidP="0063200C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6CD47157" w:rsidR="003145BE" w:rsidRPr="00E2600A" w:rsidRDefault="0067439C" w:rsidP="0063200C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D0D0B32" wp14:editId="290FC526">
                  <wp:extent cx="491307" cy="493776"/>
                  <wp:effectExtent l="0" t="0" r="444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16" cy="50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8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61A68BAF" w14:textId="7806996B" w:rsidR="00B551AB" w:rsidRPr="00B551AB" w:rsidRDefault="00B551AB" w:rsidP="00B551AB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551AB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Von Hitze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, </w:t>
            </w:r>
            <w:r w:rsidRPr="00B551AB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Funken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, </w:t>
            </w:r>
            <w:r w:rsidRPr="00B551AB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offener Flamme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, </w:t>
            </w:r>
            <w:r w:rsidRPr="00B551AB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heißen Oberflächen fernhalten. Nicht rauchen.</w:t>
            </w:r>
          </w:p>
          <w:p w14:paraId="6BACD679" w14:textId="6AE0FEDE" w:rsidR="00017C6D" w:rsidRDefault="00B551AB" w:rsidP="00B551AB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551AB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Eintritt von Feuchte in Anlagen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64A76529" w14:textId="50A9F773" w:rsidR="00BC3D38" w:rsidRPr="00461022" w:rsidRDefault="00BC3D38" w:rsidP="00461022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Schutzbrille mit Seitenschutz </w:t>
            </w:r>
            <w:r w:rsidR="0046102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und </w:t>
            </w:r>
            <w:r w:rsidRPr="0046102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Kälteschutzhandschuhe tragen. </w:t>
            </w:r>
          </w:p>
          <w:p w14:paraId="2809150C" w14:textId="77777777" w:rsidR="00B551AB" w:rsidRPr="00B551AB" w:rsidRDefault="00B551AB" w:rsidP="00B551AB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551AB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Nicht in die Kanalisation, Keller, Arbeitsgruben und ähnliche Plätze, an denen die Ansammlung</w:t>
            </w:r>
          </w:p>
          <w:p w14:paraId="1ADF4EF3" w14:textId="34224215" w:rsidR="00BC3D38" w:rsidRDefault="00B551AB" w:rsidP="00BC3D38">
            <w:pPr>
              <w:pStyle w:val="Listenabsatz"/>
              <w:ind w:left="360"/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551AB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des Gases gefährlich werden könnte, ausströmen lassen.</w:t>
            </w:r>
          </w:p>
          <w:p w14:paraId="527D25D4" w14:textId="77777777" w:rsidR="00BC3D38" w:rsidRDefault="00BC3D38" w:rsidP="00BC3D3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C3D3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Auf absolute Dichtheit der Behältnisse und aller </w:t>
            </w:r>
            <w:proofErr w:type="spellStart"/>
            <w:r w:rsidRPr="00BC3D3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Anschlussteile</w:t>
            </w:r>
            <w:proofErr w:type="spellEnd"/>
            <w:r w:rsidRPr="00BC3D3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achten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54C60BE4" w14:textId="77777777" w:rsidR="00BC3D38" w:rsidRDefault="00BC3D38" w:rsidP="00BC3D38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C3D38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Druckgasflaschen gegen Umfallen sichern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35350D47" w14:textId="309DE07E" w:rsidR="00461022" w:rsidRPr="00461022" w:rsidRDefault="00461022" w:rsidP="00461022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46102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Gasflaschen vor mechanischer Beschädigung schützen; nicht ziehen, nicht rollen, nicht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  <w:r w:rsidRPr="0046102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schieben, nich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t </w:t>
            </w:r>
            <w:r w:rsidRPr="0046102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fallenlassen.</w:t>
            </w:r>
          </w:p>
          <w:p w14:paraId="035B0363" w14:textId="68743E54" w:rsidR="00BC3D38" w:rsidRDefault="00461022" w:rsidP="00461022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46102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Für den Transport von Gasflaschen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  <w:r w:rsidRPr="0046102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einen Flaschenwage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n / </w:t>
            </w:r>
            <w:r w:rsidRPr="0046102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Handwagen benutzen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4C989078" w14:textId="19320A22" w:rsidR="00461022" w:rsidRPr="00461022" w:rsidRDefault="00461022" w:rsidP="00461022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46102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Behälter bei weniger als </w:t>
            </w:r>
            <w:proofErr w:type="spellStart"/>
            <w:r w:rsidRPr="0046102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50°C</w:t>
            </w:r>
            <w:proofErr w:type="spellEnd"/>
            <w:r w:rsidRPr="0046102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an einem gut gelüfteten Ort lagern</w:t>
            </w:r>
          </w:p>
        </w:tc>
        <w:tc>
          <w:tcPr>
            <w:tcW w:w="1042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54ADE7D6" w14:textId="77777777" w:rsidR="003145BE" w:rsidRPr="003145BE" w:rsidRDefault="003145BE" w:rsidP="003145BE">
            <w:pPr>
              <w:rPr>
                <w:rFonts w:ascii="Calibri" w:eastAsia="Times New Roman" w:hAnsi="Calibri" w:cs="Times New Roman"/>
                <w:sz w:val="8"/>
                <w:szCs w:val="8"/>
                <w:lang w:eastAsia="de-DE"/>
              </w:rPr>
            </w:pPr>
          </w:p>
          <w:p w14:paraId="3CF6E6A4" w14:textId="621EBD47" w:rsidR="003145BE" w:rsidRDefault="003145BE" w:rsidP="003145BE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570A978E" wp14:editId="4C650A10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5024D5" w14:textId="77777777" w:rsidR="00361EA2" w:rsidRPr="00361EA2" w:rsidRDefault="00361EA2" w:rsidP="003145BE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</w:p>
          <w:p w14:paraId="660BEC00" w14:textId="5704821C" w:rsidR="00361EA2" w:rsidRPr="00361EA2" w:rsidRDefault="00361EA2" w:rsidP="003145BE">
            <w:pPr>
              <w:rPr>
                <w:rFonts w:ascii="Calibri" w:eastAsia="Times New Roman" w:hAnsi="Calibri" w:cs="Times New Roman"/>
                <w:sz w:val="10"/>
                <w:szCs w:val="1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63003E71" wp14:editId="57D35989">
                  <wp:extent cx="494581" cy="494581"/>
                  <wp:effectExtent l="0" t="0" r="1270" b="127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54" cy="525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EA2" w:rsidRPr="006838B1" w14:paraId="79BA252F" w14:textId="77777777" w:rsidTr="00EF69D0">
        <w:trPr>
          <w:trHeight w:val="290"/>
        </w:trPr>
        <w:tc>
          <w:tcPr>
            <w:tcW w:w="7939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3200C" w:rsidRPr="00C611CE" w:rsidRDefault="0063200C" w:rsidP="0063200C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 xml:space="preserve">                               Verhalten im Gefahrenfall</w:t>
            </w:r>
          </w:p>
        </w:tc>
        <w:tc>
          <w:tcPr>
            <w:tcW w:w="2319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3200C" w:rsidRPr="00C611CE" w:rsidRDefault="0063200C" w:rsidP="0063200C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>Notruf: 112</w:t>
            </w:r>
          </w:p>
        </w:tc>
      </w:tr>
      <w:tr w:rsidR="00A62FB6" w:rsidRPr="006838B1" w14:paraId="097DDA49" w14:textId="77777777" w:rsidTr="002B2294">
        <w:trPr>
          <w:trHeight w:val="1113"/>
        </w:trPr>
        <w:tc>
          <w:tcPr>
            <w:tcW w:w="107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FF8AE13" w14:textId="77777777" w:rsidR="004C4082" w:rsidRDefault="004C4082" w:rsidP="0063200C">
            <w:pPr>
              <w:rPr>
                <w:rFonts w:ascii="Calibri" w:hAnsi="Calibri"/>
              </w:rPr>
            </w:pPr>
          </w:p>
          <w:p w14:paraId="753172AF" w14:textId="3E9BF451" w:rsidR="0063200C" w:rsidRPr="006838B1" w:rsidRDefault="004C4082" w:rsidP="0063200C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ED46DBB" wp14:editId="5AE92E24">
                  <wp:extent cx="526508" cy="523875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35" cy="54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56875B3" w14:textId="6ED768CA" w:rsidR="008F550D" w:rsidRPr="002B2294" w:rsidRDefault="0025102B" w:rsidP="002B2294">
            <w:pPr>
              <w:pStyle w:val="Listenabsatz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2B2294">
              <w:rPr>
                <w:rFonts w:ascii="Calibri" w:hAnsi="Calibri" w:cs="Arial"/>
                <w:b/>
                <w:bCs/>
                <w:sz w:val="18"/>
                <w:szCs w:val="18"/>
              </w:rPr>
              <w:t>Unbeabsichtigte Freisetzung:</w:t>
            </w:r>
            <w:r w:rsidR="0012264E" w:rsidRPr="002B229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>Selbstschutzbeachten. Unter Nutzung von Schutzausrüstung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 xml:space="preserve">. Versuchen 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>den Gasaustritt zu stoppen.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>Gebiet räumen.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>Das Risiko explosionsfähiger Atmosphäre ist zu berücksichtigen.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>Zündquellen beseitigen.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>Für ausreichende Lüftung sorgen.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>Eindringen in Kanalisation, Keller, Arbeitsgruben oder andere Orte, an denen die Ansammlung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>gefährlich sein könnte, verhindern.</w:t>
            </w:r>
          </w:p>
          <w:p w14:paraId="0C7ACC51" w14:textId="1770B616" w:rsidR="0067439C" w:rsidRPr="002B2294" w:rsidRDefault="0063200C" w:rsidP="002B229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2B2294">
              <w:rPr>
                <w:rFonts w:ascii="Calibri" w:hAnsi="Calibri" w:cs="Arial"/>
                <w:b/>
                <w:bCs/>
                <w:sz w:val="18"/>
                <w:szCs w:val="18"/>
              </w:rPr>
              <w:t>Löschmittel:</w:t>
            </w:r>
            <w:r w:rsidRPr="002B229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9B0B71" w:rsidRPr="002B2294">
              <w:rPr>
                <w:rFonts w:ascii="Calibri" w:hAnsi="Calibri" w:cs="Arial"/>
                <w:sz w:val="18"/>
                <w:szCs w:val="18"/>
              </w:rPr>
              <w:t>Löschmaßnahmen auf die Umgebung abstimmen</w:t>
            </w:r>
            <w:r w:rsidR="003A5854" w:rsidRPr="002B2294">
              <w:rPr>
                <w:rFonts w:ascii="Calibri" w:hAnsi="Calibri" w:cs="Arial"/>
                <w:sz w:val="18"/>
                <w:szCs w:val="18"/>
              </w:rPr>
              <w:t>.</w:t>
            </w:r>
            <w:r w:rsidR="009B0B71" w:rsidRPr="002B229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>Wassersprühstrahl oder Wassernebel.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>Trockenes Pulver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2C426087" w14:textId="2A4A26FB" w:rsidR="0063200C" w:rsidRPr="00C611CE" w:rsidRDefault="0063200C" w:rsidP="0067439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6"/>
                <w:szCs w:val="16"/>
              </w:rPr>
            </w:pPr>
            <w:r w:rsidRPr="002B229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Brandbekämpfung: </w:t>
            </w:r>
            <w:r w:rsidRPr="002B2294">
              <w:rPr>
                <w:rFonts w:ascii="Calibri" w:hAnsi="Calibri" w:cs="Arial"/>
                <w:sz w:val="18"/>
                <w:szCs w:val="18"/>
              </w:rPr>
              <w:t>Nur Entstehungsbrände selbst löschen (Selbstschutz beachten)</w:t>
            </w:r>
            <w:r w:rsidR="002B2294">
              <w:rPr>
                <w:rFonts w:ascii="Calibri" w:hAnsi="Calibri" w:cs="Arial"/>
                <w:sz w:val="18"/>
                <w:szCs w:val="18"/>
              </w:rPr>
              <w:t>.</w:t>
            </w:r>
            <w:r w:rsidR="002B2294">
              <w:t xml:space="preserve"> 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>Gefährdete Druckbehälter mit Wassersprühstrahl aus geschützter Position kühlen.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cr/>
            </w:r>
            <w:r w:rsidR="002B229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2B2294" w:rsidRPr="002B2294">
              <w:rPr>
                <w:rFonts w:ascii="Calibri" w:hAnsi="Calibri" w:cs="Arial"/>
                <w:sz w:val="18"/>
                <w:szCs w:val="18"/>
              </w:rPr>
              <w:t>Wenn möglich, Gasaustritt stoppen.</w:t>
            </w:r>
            <w:r w:rsidR="002B2294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2B2294">
              <w:rPr>
                <w:rFonts w:ascii="Calibri" w:hAnsi="Calibri" w:cs="Arial"/>
                <w:sz w:val="18"/>
                <w:szCs w:val="18"/>
              </w:rPr>
              <w:t xml:space="preserve">Raum </w:t>
            </w:r>
            <w:r w:rsidR="002B2294">
              <w:rPr>
                <w:rFonts w:ascii="Calibri" w:hAnsi="Calibri" w:cs="Arial"/>
                <w:sz w:val="18"/>
                <w:szCs w:val="18"/>
              </w:rPr>
              <w:t>sofort verlassen, wenn Brandbekämpfung nicht möglich ist.</w:t>
            </w:r>
            <w:r w:rsidRPr="002B2294">
              <w:rPr>
                <w:rFonts w:ascii="Calibri" w:hAnsi="Calibri" w:cs="Arial"/>
                <w:sz w:val="18"/>
                <w:szCs w:val="18"/>
              </w:rPr>
              <w:t xml:space="preserve"> Nachbarbereiche warnen und Feuerwehr rufen</w:t>
            </w:r>
            <w:r w:rsidR="00C611CE" w:rsidRPr="002B2294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361EA2" w:rsidRPr="006838B1" w14:paraId="48665C08" w14:textId="77777777" w:rsidTr="00EF69D0">
        <w:trPr>
          <w:trHeight w:val="279"/>
        </w:trPr>
        <w:tc>
          <w:tcPr>
            <w:tcW w:w="7939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3200C" w:rsidRPr="00C611CE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 xml:space="preserve">                            Erste Hilfe</w:t>
            </w:r>
          </w:p>
        </w:tc>
        <w:tc>
          <w:tcPr>
            <w:tcW w:w="2319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3200C" w:rsidRPr="00C611CE" w:rsidRDefault="0063200C" w:rsidP="0063200C">
            <w:pPr>
              <w:jc w:val="right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>Notruf: 112</w:t>
            </w:r>
          </w:p>
        </w:tc>
      </w:tr>
      <w:tr w:rsidR="00A62FB6" w:rsidRPr="006838B1" w14:paraId="1199C2AF" w14:textId="77777777" w:rsidTr="00EF69D0">
        <w:trPr>
          <w:trHeight w:val="4361"/>
        </w:trPr>
        <w:tc>
          <w:tcPr>
            <w:tcW w:w="107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63200C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63200C" w:rsidRPr="00803261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81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2018561" w14:textId="18BB3202" w:rsidR="0063200C" w:rsidRPr="002B2294" w:rsidRDefault="0063200C" w:rsidP="003A585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2B2294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2B2294">
              <w:rPr>
                <w:rFonts w:ascii="Calibri" w:hAnsi="Calibri"/>
                <w:sz w:val="18"/>
                <w:szCs w:val="18"/>
              </w:rPr>
              <w:t xml:space="preserve"> Einige Minuten lang behutsam mit Wasser spülen. Vorhandene Kontaktlinsen nach Möglichkeit entfernen. </w:t>
            </w:r>
            <w:r w:rsidR="003A5854" w:rsidRPr="002B2294">
              <w:rPr>
                <w:rFonts w:ascii="Calibri" w:hAnsi="Calibri" w:cs="Calibri"/>
                <w:sz w:val="18"/>
                <w:szCs w:val="18"/>
              </w:rPr>
              <w:t>Ärztlichen Rat</w:t>
            </w:r>
            <w:r w:rsidR="003A5854" w:rsidRPr="002B2294">
              <w:rPr>
                <w:rFonts w:ascii="Calibri" w:hAnsi="Calibri"/>
                <w:sz w:val="18"/>
                <w:szCs w:val="18"/>
              </w:rPr>
              <w:t xml:space="preserve"> einholen. </w:t>
            </w:r>
          </w:p>
          <w:p w14:paraId="6D2CB20D" w14:textId="77777777" w:rsidR="002B2294" w:rsidRPr="002B2294" w:rsidRDefault="0063200C" w:rsidP="002B229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2B2294">
              <w:rPr>
                <w:rFonts w:ascii="Calibri" w:hAnsi="Calibri"/>
                <w:b/>
                <w:bCs/>
                <w:sz w:val="18"/>
                <w:szCs w:val="18"/>
              </w:rPr>
              <w:t>Nach Hautkontakt:</w:t>
            </w:r>
            <w:r w:rsidRPr="002B229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B2294" w:rsidRPr="002B2294">
              <w:rPr>
                <w:rFonts w:ascii="Calibri" w:hAnsi="Calibri"/>
                <w:sz w:val="18"/>
                <w:szCs w:val="18"/>
              </w:rPr>
              <w:t>Bei Kaltverbrennungen mindestens 15 Minuten mit Wasser spülen. Steril abdecken. Arzt</w:t>
            </w:r>
          </w:p>
          <w:p w14:paraId="0F668673" w14:textId="72E36589" w:rsidR="0063200C" w:rsidRPr="002B2294" w:rsidRDefault="002B2294" w:rsidP="002B229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2B2294">
              <w:rPr>
                <w:rFonts w:ascii="Calibri" w:hAnsi="Calibri"/>
                <w:sz w:val="18"/>
                <w:szCs w:val="18"/>
              </w:rPr>
              <w:t>H</w:t>
            </w:r>
            <w:r w:rsidRPr="002B2294">
              <w:rPr>
                <w:rFonts w:ascii="Calibri" w:hAnsi="Calibri"/>
                <w:sz w:val="18"/>
                <w:szCs w:val="18"/>
              </w:rPr>
              <w:t>inzuziehen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1C895A2D" w14:textId="77777777" w:rsidR="002B2294" w:rsidRPr="002B2294" w:rsidRDefault="0063200C" w:rsidP="002B229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2B2294">
              <w:rPr>
                <w:rFonts w:ascii="Calibri" w:hAnsi="Calibri"/>
                <w:b/>
                <w:bCs/>
                <w:sz w:val="18"/>
                <w:szCs w:val="18"/>
              </w:rPr>
              <w:t>Nach Einatmen:</w:t>
            </w:r>
            <w:r w:rsidR="002B229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B2294" w:rsidRPr="002B2294">
              <w:rPr>
                <w:rFonts w:ascii="Calibri" w:hAnsi="Calibri"/>
                <w:sz w:val="18"/>
                <w:szCs w:val="18"/>
              </w:rPr>
              <w:t xml:space="preserve">Das Opfer ist unter Benutzung eines </w:t>
            </w:r>
            <w:proofErr w:type="spellStart"/>
            <w:r w:rsidR="002B2294" w:rsidRPr="002B2294">
              <w:rPr>
                <w:rFonts w:ascii="Calibri" w:hAnsi="Calibri"/>
                <w:sz w:val="18"/>
                <w:szCs w:val="18"/>
              </w:rPr>
              <w:t>umluftunabhängigen</w:t>
            </w:r>
            <w:proofErr w:type="spellEnd"/>
            <w:r w:rsidR="002B2294" w:rsidRPr="002B2294">
              <w:rPr>
                <w:rFonts w:ascii="Calibri" w:hAnsi="Calibri"/>
                <w:sz w:val="18"/>
                <w:szCs w:val="18"/>
              </w:rPr>
              <w:t xml:space="preserve"> Atemgerätes an die frische Luft zu</w:t>
            </w:r>
          </w:p>
          <w:p w14:paraId="316040BE" w14:textId="0EC5AC4F" w:rsidR="00B551AB" w:rsidRPr="002B2294" w:rsidRDefault="002B2294" w:rsidP="002B229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B2294">
              <w:rPr>
                <w:rFonts w:ascii="Calibri" w:hAnsi="Calibri"/>
                <w:sz w:val="18"/>
                <w:szCs w:val="18"/>
              </w:rPr>
              <w:t>bringen. Warm und ruhig halten. Arzt hinzuziehen. Bei Atemstillstand künstliche Beatmung.</w:t>
            </w:r>
          </w:p>
          <w:p w14:paraId="67420CE0" w14:textId="6350E4A4" w:rsidR="0063200C" w:rsidRPr="002B2294" w:rsidRDefault="0063200C" w:rsidP="00B551A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B2294">
              <w:rPr>
                <w:rFonts w:ascii="Calibri" w:hAnsi="Calibri"/>
                <w:b/>
                <w:bCs/>
                <w:sz w:val="18"/>
                <w:szCs w:val="18"/>
              </w:rPr>
              <w:t xml:space="preserve">Nach Verschlucken: </w:t>
            </w:r>
            <w:r w:rsidR="00B551AB" w:rsidRPr="002B2294">
              <w:rPr>
                <w:rFonts w:ascii="Calibri" w:hAnsi="Calibri"/>
                <w:sz w:val="18"/>
                <w:szCs w:val="18"/>
              </w:rPr>
              <w:t>Verschlucken wird nicht als möglicher Weg der Exposition angesehen.</w:t>
            </w:r>
          </w:p>
          <w:p w14:paraId="494627BB" w14:textId="77777777" w:rsidR="00B551AB" w:rsidRPr="002B2294" w:rsidRDefault="00B551AB" w:rsidP="00B551AB">
            <w:pPr>
              <w:pStyle w:val="Listenabsatz"/>
              <w:ind w:left="360"/>
              <w:rPr>
                <w:rFonts w:ascii="Calibri" w:hAnsi="Calibri"/>
                <w:sz w:val="10"/>
                <w:szCs w:val="10"/>
              </w:rPr>
            </w:pPr>
          </w:p>
          <w:p w14:paraId="58FB0EAF" w14:textId="77777777" w:rsidR="0063200C" w:rsidRPr="002B2294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2B2294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63200C" w:rsidRPr="002B2294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2B2294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57372696" w:rsidR="0063200C" w:rsidRPr="002B2294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2B2294">
              <w:rPr>
                <w:rFonts w:ascii="Calibri" w:hAnsi="Calibri"/>
                <w:sz w:val="18"/>
                <w:szCs w:val="18"/>
              </w:rPr>
              <w:t>Bei schweren Verletzungen Unfallanzeige ausfüllen.</w:t>
            </w:r>
          </w:p>
          <w:p w14:paraId="29B92DAA" w14:textId="5F7940A4" w:rsidR="0063200C" w:rsidRPr="002B2294" w:rsidRDefault="0063200C" w:rsidP="0063200C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2B2294">
              <w:rPr>
                <w:rFonts w:ascii="Calibri" w:hAnsi="Calibri"/>
                <w:sz w:val="18"/>
                <w:szCs w:val="18"/>
              </w:rPr>
              <w:t>Unfall an der Hauptpforte melden, Tel: 44 444.</w:t>
            </w:r>
          </w:p>
          <w:p w14:paraId="2594C7DD" w14:textId="77777777" w:rsidR="0063200C" w:rsidRPr="002B2294" w:rsidRDefault="0063200C" w:rsidP="0063200C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6BF4E39C" w14:textId="62868BC0" w:rsidR="0063200C" w:rsidRPr="002B2294" w:rsidRDefault="0063200C" w:rsidP="0063200C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B2294">
              <w:rPr>
                <w:rFonts w:ascii="Calibri" w:hAnsi="Calibri"/>
                <w:b/>
                <w:bCs/>
                <w:sz w:val="18"/>
                <w:szCs w:val="18"/>
              </w:rPr>
              <w:t>Ersthelfer hinzuziehen, Vorgesetzten informieren, Arzt aufsuchen.</w:t>
            </w:r>
          </w:p>
          <w:p w14:paraId="61669163" w14:textId="72DFEFF6" w:rsidR="002B2294" w:rsidRPr="002B2294" w:rsidRDefault="002B2294" w:rsidP="0063200C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476056B2" w14:textId="299B2B71" w:rsidR="0063200C" w:rsidRPr="002B2294" w:rsidRDefault="0063200C" w:rsidP="0063200C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2B2294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2B2294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2113A65" w14:textId="77777777" w:rsidR="0063200C" w:rsidRPr="002B2294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</w:p>
          <w:p w14:paraId="55EAB464" w14:textId="54FB91B2" w:rsidR="0063200C" w:rsidRPr="002B2294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sz w:val="18"/>
                <w:szCs w:val="18"/>
              </w:rPr>
            </w:pPr>
            <w:r w:rsidRPr="002B2294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63200C" w:rsidRPr="002B2294" w:rsidRDefault="0063200C" w:rsidP="0063200C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225824AB" w14:textId="77777777" w:rsidR="0063200C" w:rsidRPr="002B2294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2B2294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Pr="002B2294">
              <w:rPr>
                <w:rFonts w:ascii="Calibri" w:hAnsi="Calibri"/>
                <w:b/>
                <w:bCs/>
                <w:sz w:val="18"/>
                <w:szCs w:val="18"/>
              </w:rPr>
              <w:tab/>
            </w:r>
            <w:r w:rsidRPr="002B2294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1CE98772" w:rsidR="0063200C" w:rsidRPr="002B2294" w:rsidRDefault="0063200C" w:rsidP="0063200C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B2294">
              <w:rPr>
                <w:rFonts w:ascii="Calibri" w:hAnsi="Calibri"/>
                <w:sz w:val="18"/>
                <w:szCs w:val="18"/>
              </w:rPr>
              <w:t>Tel. Durchwahl: (0) 403-2001, Giftnotruf: (0) 06131-19240</w:t>
            </w:r>
          </w:p>
        </w:tc>
      </w:tr>
      <w:tr w:rsidR="0063200C" w:rsidRPr="006838B1" w14:paraId="5400A7A2" w14:textId="77777777" w:rsidTr="00EF69D0">
        <w:trPr>
          <w:trHeight w:val="290"/>
        </w:trPr>
        <w:tc>
          <w:tcPr>
            <w:tcW w:w="10259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63200C" w:rsidRPr="00FB58A3" w:rsidRDefault="0063200C" w:rsidP="0063200C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C611CE">
              <w:rPr>
                <w:rFonts w:ascii="Calibri" w:hAnsi="Calibri"/>
                <w:b/>
                <w:bCs/>
                <w:color w:val="FFFFFF" w:themeColor="background1"/>
              </w:rPr>
              <w:t>Sachgerechte Entsorgung</w:t>
            </w:r>
          </w:p>
        </w:tc>
      </w:tr>
      <w:tr w:rsidR="0063200C" w:rsidRPr="006838B1" w14:paraId="741F2573" w14:textId="77777777" w:rsidTr="00EF69D0">
        <w:trPr>
          <w:trHeight w:val="73"/>
        </w:trPr>
        <w:tc>
          <w:tcPr>
            <w:tcW w:w="10259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36F6263D" w:rsidR="0063200C" w:rsidRPr="0012264E" w:rsidRDefault="0063200C" w:rsidP="0063200C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 xml:space="preserve">Abfälle in verschließbaren gekennzeichneten Gefäßen sammeln und </w:t>
            </w:r>
            <w:r w:rsidR="002E49BC">
              <w:rPr>
                <w:rFonts w:ascii="Calibri" w:hAnsi="Calibri"/>
                <w:sz w:val="18"/>
                <w:szCs w:val="18"/>
              </w:rPr>
              <w:t>m</w:t>
            </w:r>
            <w:r w:rsidRPr="0012264E">
              <w:rPr>
                <w:rFonts w:ascii="Calibri" w:hAnsi="Calibri"/>
                <w:sz w:val="18"/>
                <w:szCs w:val="18"/>
              </w:rPr>
              <w:t>it dem Entsorgungszentrum der TU Kontakt aufnehmen, Tel.: 24700.</w:t>
            </w:r>
          </w:p>
          <w:p w14:paraId="6563728E" w14:textId="769390A1" w:rsidR="0063200C" w:rsidRDefault="0063200C" w:rsidP="0063200C">
            <w:pPr>
              <w:pStyle w:val="Listenabsatz"/>
              <w:ind w:left="1353"/>
              <w:rPr>
                <w:rFonts w:ascii="Calibri" w:hAnsi="Calibri"/>
                <w:sz w:val="10"/>
                <w:szCs w:val="10"/>
              </w:rPr>
            </w:pPr>
          </w:p>
          <w:p w14:paraId="72C340F6" w14:textId="77777777" w:rsidR="00E4764F" w:rsidRPr="00E4764F" w:rsidRDefault="00E4764F" w:rsidP="00E4764F">
            <w:pPr>
              <w:rPr>
                <w:rFonts w:ascii="Calibri" w:hAnsi="Calibri"/>
                <w:sz w:val="10"/>
                <w:szCs w:val="10"/>
              </w:rPr>
            </w:pPr>
          </w:p>
          <w:p w14:paraId="06513306" w14:textId="06B83F5C" w:rsidR="0063200C" w:rsidRPr="0012264E" w:rsidRDefault="0063200C" w:rsidP="0063200C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361EA2" w:rsidRPr="006838B1" w14:paraId="21A43B41" w14:textId="77777777" w:rsidTr="00461022">
        <w:trPr>
          <w:trHeight w:val="46"/>
        </w:trPr>
        <w:tc>
          <w:tcPr>
            <w:tcW w:w="2589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02CF0359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Datum:</w:t>
            </w:r>
          </w:p>
        </w:tc>
        <w:tc>
          <w:tcPr>
            <w:tcW w:w="4625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63200C" w:rsidRPr="0012264E" w:rsidRDefault="0063200C" w:rsidP="0063200C">
            <w:pPr>
              <w:rPr>
                <w:rFonts w:ascii="Calibri" w:hAnsi="Calibri"/>
                <w:sz w:val="18"/>
                <w:szCs w:val="18"/>
              </w:rPr>
            </w:pPr>
            <w:r w:rsidRPr="0012264E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52B9ACDD" w14:textId="77777777" w:rsidR="00461022" w:rsidRPr="000E771E" w:rsidRDefault="00461022" w:rsidP="00461022">
      <w:pPr>
        <w:pStyle w:val="berschrift1"/>
        <w:tabs>
          <w:tab w:val="left" w:pos="7266"/>
        </w:tabs>
        <w:rPr>
          <w:rFonts w:ascii="Calibri" w:hAnsi="Calibri"/>
          <w:sz w:val="10"/>
          <w:szCs w:val="10"/>
        </w:rPr>
      </w:pPr>
    </w:p>
    <w:sectPr w:rsidR="00461022" w:rsidRPr="000E771E" w:rsidSect="00461022">
      <w:footerReference w:type="default" r:id="rId1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77516BC2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Reis</w:t>
    </w:r>
    <w:r w:rsidR="00D13B1D">
      <w:rPr>
        <w:sz w:val="16"/>
        <w:szCs w:val="16"/>
      </w:rPr>
      <w:t xml:space="preserve"> </w:t>
    </w:r>
    <w:r w:rsidR="002B5B06">
      <w:rPr>
        <w:sz w:val="16"/>
        <w:szCs w:val="16"/>
      </w:rPr>
      <w:t>November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07C8DC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803EAA"/>
    <w:multiLevelType w:val="hybridMultilevel"/>
    <w:tmpl w:val="922410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773883"/>
    <w:multiLevelType w:val="hybridMultilevel"/>
    <w:tmpl w:val="711256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01B61"/>
    <w:rsid w:val="00003A8F"/>
    <w:rsid w:val="00003B84"/>
    <w:rsid w:val="00007798"/>
    <w:rsid w:val="00017C6D"/>
    <w:rsid w:val="0003617D"/>
    <w:rsid w:val="000519D7"/>
    <w:rsid w:val="000B256A"/>
    <w:rsid w:val="000D0D58"/>
    <w:rsid w:val="000E223E"/>
    <w:rsid w:val="000E771E"/>
    <w:rsid w:val="00113DD6"/>
    <w:rsid w:val="0012264E"/>
    <w:rsid w:val="0012459F"/>
    <w:rsid w:val="00146343"/>
    <w:rsid w:val="00154A11"/>
    <w:rsid w:val="00175C00"/>
    <w:rsid w:val="001A6ECC"/>
    <w:rsid w:val="001E000F"/>
    <w:rsid w:val="002305DB"/>
    <w:rsid w:val="00242626"/>
    <w:rsid w:val="0025102B"/>
    <w:rsid w:val="002951B2"/>
    <w:rsid w:val="002B2294"/>
    <w:rsid w:val="002B5B06"/>
    <w:rsid w:val="002E49BC"/>
    <w:rsid w:val="0031007E"/>
    <w:rsid w:val="003145BE"/>
    <w:rsid w:val="00361EA2"/>
    <w:rsid w:val="00366ED2"/>
    <w:rsid w:val="00375848"/>
    <w:rsid w:val="003A5854"/>
    <w:rsid w:val="003B3369"/>
    <w:rsid w:val="003C2263"/>
    <w:rsid w:val="004249D5"/>
    <w:rsid w:val="004334C8"/>
    <w:rsid w:val="00433A96"/>
    <w:rsid w:val="00461022"/>
    <w:rsid w:val="004C4082"/>
    <w:rsid w:val="004E663C"/>
    <w:rsid w:val="00513791"/>
    <w:rsid w:val="00537035"/>
    <w:rsid w:val="005A3129"/>
    <w:rsid w:val="005A7C92"/>
    <w:rsid w:val="005B65A5"/>
    <w:rsid w:val="006103C9"/>
    <w:rsid w:val="00621749"/>
    <w:rsid w:val="00631978"/>
    <w:rsid w:val="0063200C"/>
    <w:rsid w:val="00644473"/>
    <w:rsid w:val="0067439C"/>
    <w:rsid w:val="006778D0"/>
    <w:rsid w:val="006838B1"/>
    <w:rsid w:val="006A3237"/>
    <w:rsid w:val="0070530A"/>
    <w:rsid w:val="00757CA1"/>
    <w:rsid w:val="00792657"/>
    <w:rsid w:val="007B3126"/>
    <w:rsid w:val="007C0288"/>
    <w:rsid w:val="007D0436"/>
    <w:rsid w:val="007E0B99"/>
    <w:rsid w:val="007F3688"/>
    <w:rsid w:val="00803261"/>
    <w:rsid w:val="00830553"/>
    <w:rsid w:val="00830BA0"/>
    <w:rsid w:val="008629E0"/>
    <w:rsid w:val="008A006A"/>
    <w:rsid w:val="008D6FC5"/>
    <w:rsid w:val="008F550D"/>
    <w:rsid w:val="00911989"/>
    <w:rsid w:val="009B0B71"/>
    <w:rsid w:val="00A32615"/>
    <w:rsid w:val="00A53783"/>
    <w:rsid w:val="00A62FB6"/>
    <w:rsid w:val="00A6653E"/>
    <w:rsid w:val="00B10C91"/>
    <w:rsid w:val="00B10FBC"/>
    <w:rsid w:val="00B21DEB"/>
    <w:rsid w:val="00B2449D"/>
    <w:rsid w:val="00B551AB"/>
    <w:rsid w:val="00BA6923"/>
    <w:rsid w:val="00BB7BF4"/>
    <w:rsid w:val="00BC3D38"/>
    <w:rsid w:val="00BC748B"/>
    <w:rsid w:val="00BD0EEC"/>
    <w:rsid w:val="00C30121"/>
    <w:rsid w:val="00C611CE"/>
    <w:rsid w:val="00CA210E"/>
    <w:rsid w:val="00CB48F4"/>
    <w:rsid w:val="00CC26C9"/>
    <w:rsid w:val="00D12D12"/>
    <w:rsid w:val="00D13B1D"/>
    <w:rsid w:val="00D55769"/>
    <w:rsid w:val="00D616EA"/>
    <w:rsid w:val="00D8663D"/>
    <w:rsid w:val="00DB6A14"/>
    <w:rsid w:val="00DD2AC5"/>
    <w:rsid w:val="00E16407"/>
    <w:rsid w:val="00E206A8"/>
    <w:rsid w:val="00E20F4B"/>
    <w:rsid w:val="00E2600A"/>
    <w:rsid w:val="00E4764F"/>
    <w:rsid w:val="00E531E7"/>
    <w:rsid w:val="00EE74B5"/>
    <w:rsid w:val="00EF69D0"/>
    <w:rsid w:val="00F2075C"/>
    <w:rsid w:val="00F50794"/>
    <w:rsid w:val="00FB4403"/>
    <w:rsid w:val="00FB58A3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7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7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5</cp:revision>
  <dcterms:created xsi:type="dcterms:W3CDTF">2020-11-16T12:36:00Z</dcterms:created>
  <dcterms:modified xsi:type="dcterms:W3CDTF">2020-11-16T13:15:00Z</dcterms:modified>
</cp:coreProperties>
</file>