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1251"/>
        <w:gridCol w:w="25"/>
        <w:gridCol w:w="996"/>
      </w:tblGrid>
      <w:tr w:rsidR="00C427F9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7B5DB468" w:rsidR="0063200C" w:rsidRPr="00C427F9" w:rsidRDefault="00C427F9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Quarz (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SiO</w:t>
            </w:r>
            <w:r>
              <w:rPr>
                <w:rFonts w:asciiTheme="minorHAnsi" w:hAnsiTheme="minorHAnsi" w:cstheme="minorHAnsi"/>
                <w:sz w:val="32"/>
                <w:szCs w:val="32"/>
                <w:vertAlign w:val="subscript"/>
              </w:rPr>
              <w:t>2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>)</w:t>
            </w:r>
          </w:p>
        </w:tc>
      </w:tr>
      <w:tr w:rsidR="0063200C" w:rsidRPr="006838B1" w14:paraId="13CD52CF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C427F9" w:rsidRPr="006838B1" w14:paraId="3266990A" w14:textId="77777777" w:rsidTr="003145BE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2072B038" w14:textId="5DB22E2F" w:rsidR="00A32615" w:rsidRDefault="00C427F9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noProof/>
                <w:sz w:val="10"/>
                <w:szCs w:val="10"/>
              </w:rPr>
              <w:drawing>
                <wp:inline distT="0" distB="0" distL="0" distR="0" wp14:anchorId="17A2B49E" wp14:editId="3E7C8E31">
                  <wp:extent cx="508635" cy="508635"/>
                  <wp:effectExtent l="0" t="0" r="5715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54" cy="513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EE9016" w14:textId="3FCA7D15" w:rsidR="009B0B71" w:rsidRPr="007E0B99" w:rsidRDefault="009B0B71" w:rsidP="0063200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1DA1F5A" w14:textId="74FBCF3C" w:rsidR="00C427F9" w:rsidRPr="00C427F9" w:rsidRDefault="00C427F9" w:rsidP="00C427F9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C427F9">
              <w:rPr>
                <w:rFonts w:ascii="Calibri" w:hAnsi="Calibri"/>
                <w:sz w:val="18"/>
                <w:szCs w:val="18"/>
              </w:rPr>
              <w:t>Bei der Bearbeitung und Untersuchung quarzhaltiger Natursteine tritt Feinstaub auf, der zu Staublungenerkrankungen führen kann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B45B254" w14:textId="699EAAE2" w:rsidR="00146343" w:rsidRPr="00146343" w:rsidRDefault="00C427F9" w:rsidP="00C427F9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C427F9">
              <w:rPr>
                <w:rFonts w:ascii="Calibri" w:hAnsi="Calibri"/>
                <w:sz w:val="18"/>
                <w:szCs w:val="18"/>
              </w:rPr>
              <w:t>Schädigt die Organe (Lunge) bei längerer oder wiederholter Exposition (bei Einatmen)</w:t>
            </w:r>
            <w:r w:rsidRPr="00C427F9">
              <w:rPr>
                <w:rFonts w:ascii="Calibri" w:hAnsi="Calibri"/>
                <w:sz w:val="18"/>
                <w:szCs w:val="18"/>
              </w:rPr>
              <w:cr/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10D69DC8" w:rsidR="0063200C" w:rsidRPr="00A53783" w:rsidRDefault="0063200C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3200C" w:rsidRPr="006838B1" w14:paraId="052056E6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C427F9" w:rsidRPr="006838B1" w14:paraId="7269A93E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6CD47157" w:rsidR="003145BE" w:rsidRPr="00E2600A" w:rsidRDefault="0067439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D0D0B32" wp14:editId="290FC526">
                  <wp:extent cx="491307" cy="493776"/>
                  <wp:effectExtent l="0" t="0" r="444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16" cy="5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557C5547" w14:textId="49DB1E48" w:rsidR="00C427F9" w:rsidRDefault="00C427F9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427F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Staub nicht einatmen.</w:t>
            </w:r>
          </w:p>
          <w:p w14:paraId="76259754" w14:textId="5A036317" w:rsidR="00C427F9" w:rsidRDefault="00C427F9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Staubentwicklung vermeiden.</w:t>
            </w:r>
          </w:p>
          <w:p w14:paraId="4EFD41B2" w14:textId="1839A5D9" w:rsidR="00EB6AED" w:rsidRDefault="00EB6AED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EB6AE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verschlossen halten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a</w:t>
            </w:r>
            <w:r w:rsidRPr="00EB6AE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 einem trockenen Ort aufbewahren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05A31E45" w14:textId="727C4739" w:rsidR="00A32615" w:rsidRDefault="00A32615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dem Abzug arbeiten</w:t>
            </w:r>
            <w:r w:rsidR="00C427F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, </w:t>
            </w:r>
            <w:r w:rsidR="00C427F9" w:rsidRPr="00C427F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ansonsten ist bei Auftreten von Stäuben Atemschutz erforderlich</w:t>
            </w:r>
            <w:r w:rsid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4137A016" w14:textId="627D691B" w:rsidR="003145BE" w:rsidRPr="00C427F9" w:rsidRDefault="003145BE" w:rsidP="00C427F9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427F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Schutzhandschuhe</w:t>
            </w:r>
            <w:r w:rsidR="0067439C" w:rsidRPr="00C427F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 Laborkittel</w:t>
            </w:r>
            <w:r w:rsidRPr="00C427F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Schutzbrille tragen.</w:t>
            </w:r>
          </w:p>
          <w:p w14:paraId="359F4AE1" w14:textId="18AA1358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 und Augen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4C989078" w14:textId="21BF47B2" w:rsidR="00A32615" w:rsidRPr="00A32615" w:rsidRDefault="00A32615" w:rsidP="00A3261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Produkte nicht in Oberflächengewässer, Kanalisation und das Grundwasser gelangen lassen.</w:t>
            </w:r>
          </w:p>
        </w:tc>
        <w:tc>
          <w:tcPr>
            <w:tcW w:w="1021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50AD4C20" w14:textId="216DBDA6" w:rsid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115789" w14:textId="77777777" w:rsidR="00C427F9" w:rsidRPr="00C427F9" w:rsidRDefault="00C427F9" w:rsidP="003145BE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  <w:p w14:paraId="660BEC00" w14:textId="5F135069" w:rsidR="00C427F9" w:rsidRPr="003145BE" w:rsidRDefault="00C427F9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0300C05D" wp14:editId="43C96D2A">
                  <wp:extent cx="485539" cy="485539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911" cy="512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53F" w:rsidRPr="006838B1" w14:paraId="79BA252F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67439C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56875B3" w14:textId="765C50F0" w:rsidR="008F550D" w:rsidRPr="002B5B06" w:rsidRDefault="0025102B" w:rsidP="002B5B06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8F550D" w:rsidRPr="007D0436">
              <w:rPr>
                <w:rFonts w:ascii="Calibri" w:hAnsi="Calibri" w:cs="Arial"/>
                <w:sz w:val="18"/>
                <w:szCs w:val="18"/>
              </w:rPr>
              <w:t xml:space="preserve">Laborleitung hinzuziehen. </w:t>
            </w:r>
            <w:r w:rsidR="00C427F9">
              <w:rPr>
                <w:rFonts w:ascii="Calibri" w:hAnsi="Calibri" w:cs="Arial"/>
                <w:sz w:val="18"/>
                <w:szCs w:val="18"/>
              </w:rPr>
              <w:t>Stäube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nicht einatmen. Für angemessene Lüftung sorgen.</w:t>
            </w:r>
            <w:r w:rsidR="002B5B06">
              <w:rPr>
                <w:rFonts w:ascii="Calibri" w:hAnsi="Calibri" w:cs="Arial"/>
                <w:sz w:val="18"/>
                <w:szCs w:val="18"/>
              </w:rPr>
              <w:t xml:space="preserve"> Unter Nutzung von persönlicher Schutzausrüstung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5B06" w:rsidRPr="002B5B06">
              <w:rPr>
                <w:rFonts w:ascii="Calibri" w:hAnsi="Calibri" w:cs="Arial"/>
                <w:sz w:val="18"/>
                <w:szCs w:val="18"/>
              </w:rPr>
              <w:t>v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erschüttete </w:t>
            </w:r>
            <w:r w:rsidR="00C427F9">
              <w:rPr>
                <w:rFonts w:ascii="Calibri" w:hAnsi="Calibri" w:cs="Arial"/>
                <w:sz w:val="18"/>
                <w:szCs w:val="18"/>
              </w:rPr>
              <w:t>Substanz</w:t>
            </w:r>
            <w:r w:rsidR="003A5854" w:rsidRPr="002B5B0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>vorsichtig</w:t>
            </w:r>
            <w:r w:rsidR="005E0BA2">
              <w:rPr>
                <w:rFonts w:ascii="Calibri" w:hAnsi="Calibri" w:cs="Arial"/>
                <w:sz w:val="18"/>
                <w:szCs w:val="18"/>
              </w:rPr>
              <w:t xml:space="preserve"> mit Universalbinder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 aufnehmen und in beständigen, verschließbaren und gekennzeichneten Gefäßen sammeln und dem Entsorgungszentrum der TU Darmstadt zuführen. </w:t>
            </w:r>
          </w:p>
          <w:p w14:paraId="0C7ACC51" w14:textId="2D7C1A3F" w:rsidR="0067439C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C426087" w14:textId="0DA19FC4" w:rsidR="0063200C" w:rsidRPr="00E531E7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9E553F" w:rsidRPr="006838B1" w14:paraId="48665C08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67439C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7E140170" w:rsidR="0063200C" w:rsidRPr="003A5854" w:rsidRDefault="0063200C" w:rsidP="003A585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B6AED" w:rsidRPr="00EB6AED">
              <w:rPr>
                <w:rFonts w:ascii="Calibri" w:hAnsi="Calibri"/>
                <w:sz w:val="18"/>
                <w:szCs w:val="18"/>
              </w:rPr>
              <w:t>Einige Minuten lang behutsam mit Wasser ausspülen. Bei Auftreten von Beschwerden oder in Zweifelsfällen ärztlichen Rat einholen.</w:t>
            </w:r>
          </w:p>
          <w:p w14:paraId="0F668673" w14:textId="5354A055" w:rsidR="0063200C" w:rsidRPr="00EB6AED" w:rsidRDefault="0063200C" w:rsidP="00EB6AE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7D0436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B6AED" w:rsidRPr="00EB6AED">
              <w:rPr>
                <w:rFonts w:ascii="Calibri" w:hAnsi="Calibri"/>
                <w:sz w:val="18"/>
                <w:szCs w:val="18"/>
              </w:rPr>
              <w:t>Haut mit Wasser abwaschen/duschen.</w:t>
            </w:r>
          </w:p>
          <w:p w14:paraId="057A7309" w14:textId="13CA4B3C" w:rsidR="00EB6AED" w:rsidRPr="00EB6AED" w:rsidRDefault="0063200C" w:rsidP="00E91B98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EB6AED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="00EB6AED" w:rsidRPr="00EB6AED">
              <w:rPr>
                <w:rFonts w:ascii="Calibri" w:hAnsi="Calibri"/>
                <w:sz w:val="18"/>
                <w:szCs w:val="18"/>
              </w:rPr>
              <w:t>Für Frischluft sorgen. Bei Auftreten von Beschwerden oder in Zweifelsfällen ärztlichen Rat einholen.</w:t>
            </w:r>
          </w:p>
          <w:p w14:paraId="2B0AD635" w14:textId="4B2F0516" w:rsidR="0063200C" w:rsidRPr="00EB6AED" w:rsidRDefault="0063200C" w:rsidP="00E91B98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B6AED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="00EB6AED" w:rsidRPr="00EB6AED">
              <w:rPr>
                <w:rFonts w:ascii="Calibri" w:hAnsi="Calibri"/>
                <w:sz w:val="18"/>
                <w:szCs w:val="18"/>
              </w:rPr>
              <w:t>Mund ausspülen. Bei Unwohlsein Arzt anrufen.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9E553F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0133BFE3" w14:textId="5657C828" w:rsidR="002B5B06" w:rsidRPr="002B5B06" w:rsidRDefault="00513791" w:rsidP="00C427F9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B5B06">
        <w:rPr>
          <w:rFonts w:ascii="Calibri" w:hAnsi="Calibri"/>
        </w:rPr>
        <w:tab/>
      </w:r>
    </w:p>
    <w:sectPr w:rsidR="002B5B06" w:rsidRPr="002B5B06" w:rsidSect="00BA692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3617D"/>
    <w:rsid w:val="000B256A"/>
    <w:rsid w:val="000D0D58"/>
    <w:rsid w:val="000E223E"/>
    <w:rsid w:val="0010561D"/>
    <w:rsid w:val="00113DD6"/>
    <w:rsid w:val="0012264E"/>
    <w:rsid w:val="0012459F"/>
    <w:rsid w:val="00146343"/>
    <w:rsid w:val="00175C00"/>
    <w:rsid w:val="001A6ECC"/>
    <w:rsid w:val="001E000F"/>
    <w:rsid w:val="002305DB"/>
    <w:rsid w:val="00242626"/>
    <w:rsid w:val="0025102B"/>
    <w:rsid w:val="002951B2"/>
    <w:rsid w:val="002B5B06"/>
    <w:rsid w:val="0031007E"/>
    <w:rsid w:val="003145BE"/>
    <w:rsid w:val="00366ED2"/>
    <w:rsid w:val="00375848"/>
    <w:rsid w:val="003A5854"/>
    <w:rsid w:val="003C2263"/>
    <w:rsid w:val="004249D5"/>
    <w:rsid w:val="004334C8"/>
    <w:rsid w:val="00433A96"/>
    <w:rsid w:val="004C4082"/>
    <w:rsid w:val="004E663C"/>
    <w:rsid w:val="00513791"/>
    <w:rsid w:val="00537035"/>
    <w:rsid w:val="005A3129"/>
    <w:rsid w:val="005A7C92"/>
    <w:rsid w:val="005B65A5"/>
    <w:rsid w:val="005E0BA2"/>
    <w:rsid w:val="006103C9"/>
    <w:rsid w:val="00621749"/>
    <w:rsid w:val="00631978"/>
    <w:rsid w:val="0063200C"/>
    <w:rsid w:val="00644473"/>
    <w:rsid w:val="0067439C"/>
    <w:rsid w:val="006838B1"/>
    <w:rsid w:val="006A3237"/>
    <w:rsid w:val="0070530A"/>
    <w:rsid w:val="00792657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F550D"/>
    <w:rsid w:val="00911989"/>
    <w:rsid w:val="009B0B71"/>
    <w:rsid w:val="009E553F"/>
    <w:rsid w:val="00A32615"/>
    <w:rsid w:val="00A53783"/>
    <w:rsid w:val="00B10FBC"/>
    <w:rsid w:val="00B21DEB"/>
    <w:rsid w:val="00B2449D"/>
    <w:rsid w:val="00BA6923"/>
    <w:rsid w:val="00BB7BF4"/>
    <w:rsid w:val="00BC748B"/>
    <w:rsid w:val="00C30121"/>
    <w:rsid w:val="00C427F9"/>
    <w:rsid w:val="00CA210E"/>
    <w:rsid w:val="00CB48F4"/>
    <w:rsid w:val="00CC26C9"/>
    <w:rsid w:val="00D12D12"/>
    <w:rsid w:val="00D13B1D"/>
    <w:rsid w:val="00D24EE3"/>
    <w:rsid w:val="00D616EA"/>
    <w:rsid w:val="00DB6A14"/>
    <w:rsid w:val="00DD2AC5"/>
    <w:rsid w:val="00E16407"/>
    <w:rsid w:val="00E206A8"/>
    <w:rsid w:val="00E20F4B"/>
    <w:rsid w:val="00E2600A"/>
    <w:rsid w:val="00E531E7"/>
    <w:rsid w:val="00EB6AED"/>
    <w:rsid w:val="00EE74B5"/>
    <w:rsid w:val="00F2075C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3</cp:revision>
  <dcterms:created xsi:type="dcterms:W3CDTF">2020-11-13T17:32:00Z</dcterms:created>
  <dcterms:modified xsi:type="dcterms:W3CDTF">2020-11-13T17:32:00Z</dcterms:modified>
</cp:coreProperties>
</file>