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709"/>
        <w:gridCol w:w="1251"/>
        <w:gridCol w:w="25"/>
        <w:gridCol w:w="996"/>
      </w:tblGrid>
      <w:tr w:rsidR="007134D8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3A47CA25" w:rsidR="0063200C" w:rsidRPr="0063200C" w:rsidRDefault="00107076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Flüssige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59027C">
              <w:rPr>
                <w:rFonts w:asciiTheme="minorHAnsi" w:hAnsiTheme="minorHAnsi" w:cstheme="minorHAnsi"/>
                <w:sz w:val="32"/>
                <w:szCs w:val="32"/>
              </w:rPr>
              <w:t xml:space="preserve">explosionsgefährliche Stoffe </w:t>
            </w:r>
            <w:r w:rsidR="00294774">
              <w:rPr>
                <w:rFonts w:asciiTheme="minorHAnsi" w:hAnsiTheme="minorHAnsi" w:cstheme="minorHAnsi"/>
                <w:sz w:val="32"/>
                <w:szCs w:val="32"/>
              </w:rPr>
              <w:t>(z.B. Nitroglycerin)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134D8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282095C6" w:rsidR="009B0B71" w:rsidRPr="007E0B99" w:rsidRDefault="00D71359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51E8F52" wp14:editId="67009975">
                  <wp:extent cx="496888" cy="49688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8" cy="50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22121F0" w14:textId="6B509E8C" w:rsidR="004B2F65" w:rsidRDefault="004B2F65" w:rsidP="00E560E4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Explosive </w:t>
            </w:r>
            <w:r w:rsidR="000806AB">
              <w:rPr>
                <w:rFonts w:ascii="Calibri" w:hAnsi="Calibri"/>
                <w:sz w:val="18"/>
                <w:szCs w:val="18"/>
              </w:rPr>
              <w:t>Flüssigkeit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F749EED" w14:textId="102D3A45" w:rsidR="00E07F9D" w:rsidRPr="00E560E4" w:rsidRDefault="00E560E4" w:rsidP="00E560E4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E560E4">
              <w:rPr>
                <w:rFonts w:ascii="Calibri" w:hAnsi="Calibri"/>
                <w:sz w:val="18"/>
                <w:szCs w:val="18"/>
              </w:rPr>
              <w:t>xplodieren durch Schlag, Reibung,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60E4">
              <w:rPr>
                <w:rFonts w:ascii="Calibri" w:hAnsi="Calibri"/>
                <w:sz w:val="18"/>
                <w:szCs w:val="18"/>
              </w:rPr>
              <w:t>Funkenbildung, Feuer oder durch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60E4">
              <w:rPr>
                <w:rFonts w:ascii="Calibri" w:hAnsi="Calibri"/>
                <w:sz w:val="18"/>
                <w:szCs w:val="18"/>
              </w:rPr>
              <w:t>Hitzeentwicklung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7E18FD22" w:rsidR="007A3824" w:rsidRPr="00146343" w:rsidRDefault="00E07F9D" w:rsidP="00E07F9D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E07F9D">
              <w:rPr>
                <w:rFonts w:ascii="Calibri" w:hAnsi="Calibri"/>
                <w:sz w:val="18"/>
                <w:szCs w:val="18"/>
              </w:rPr>
              <w:t>Bildung von giftigen und hochentzündlichen Gasen bei Zersetzung</w:t>
            </w:r>
            <w:r w:rsidR="00E560E4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7134D8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2FDB2BBB" w:rsidR="003145BE" w:rsidRPr="00E2600A" w:rsidRDefault="001F3194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w:drawing>
                <wp:inline distT="0" distB="0" distL="0" distR="0" wp14:anchorId="6D469AB5" wp14:editId="254DAC64">
                  <wp:extent cx="494030" cy="494030"/>
                  <wp:effectExtent l="0" t="0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138C9FF" w14:textId="6EE7D52E" w:rsidR="00E560E4" w:rsidRPr="00E560E4" w:rsidRDefault="00E560E4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Wärmequellen fernhalten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DD698AC" w14:textId="39946DB7" w:rsidR="004C57E8" w:rsidRPr="004C57E8" w:rsidRDefault="004C57E8" w:rsidP="004C57E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Überhitzung, </w:t>
            </w:r>
            <w:r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Funkenbildung, Schlag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</w:t>
            </w:r>
            <w:r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Reibung vermeiden.</w:t>
            </w:r>
          </w:p>
          <w:p w14:paraId="522117CF" w14:textId="40A53B09" w:rsidR="00D71359" w:rsidRDefault="00D71359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7135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Explosionsgefährliche Stoffe und Gemische sind in möglichst kleinen Mengen und nur an ausreichend abgeschirmten Arbeitsplätzen zu handhaben.</w:t>
            </w:r>
          </w:p>
          <w:p w14:paraId="012CBA44" w14:textId="1DE94A55" w:rsidR="00D71359" w:rsidRPr="00E560E4" w:rsidRDefault="00D71359" w:rsidP="00D71359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Vor Arbeiten </w:t>
            </w:r>
            <w:r w:rsid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Beschäftigte</w:t>
            </w: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informieren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C05C6C9" w14:textId="1F903CDC" w:rsidR="004C57E8" w:rsidRPr="004C57E8" w:rsidRDefault="00E560E4" w:rsidP="004C57E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zusammen mit leichtentzündlichen</w:t>
            </w:r>
            <w:r w:rsid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</w:t>
            </w:r>
            <w:r w:rsidR="004C57E8">
              <w:t xml:space="preserve"> </w:t>
            </w:r>
            <w:r w:rsidR="004C57E8"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brennbaren Gefahrstoffen oder Druckgasen</w:t>
            </w: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lagern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A954563" w14:textId="3D45F79A" w:rsidR="001F3194" w:rsidRPr="001F3194" w:rsidRDefault="001F3194" w:rsidP="001F319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F319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Laborhandschuhe, Schutzbrille und Laborkittel tragen.</w:t>
            </w:r>
          </w:p>
          <w:p w14:paraId="00C600A9" w14:textId="0D9F7D44" w:rsidR="00B65853" w:rsidRPr="00B65853" w:rsidRDefault="00B65853" w:rsidP="00B65853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65853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Für sehr gute Be- und Entlüftung des Arbeitsraumes sorgen.</w:t>
            </w:r>
          </w:p>
          <w:p w14:paraId="1A6CDC43" w14:textId="0FC48243" w:rsidR="007A3824" w:rsidRDefault="00E560E4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Ausgelaufene Flüssigkeiten nicht in die Kanalisation gelangen lassen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C989078" w14:textId="1C04E860" w:rsidR="00140957" w:rsidRPr="00E560E4" w:rsidRDefault="00140957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Dämpfe und Aerosole nicht einatmen.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D8" w:rsidRPr="006838B1" w14:paraId="79BA252F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010314D" w14:textId="4E1AD389" w:rsidR="007134D8" w:rsidRPr="007134D8" w:rsidRDefault="0025102B" w:rsidP="007134D8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Laborleitung hinzuziehen</w:t>
            </w:r>
            <w:r w:rsid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69665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B1DCE">
              <w:rPr>
                <w:rFonts w:ascii="Calibri" w:hAnsi="Calibri" w:cs="Arial"/>
                <w:sz w:val="18"/>
                <w:szCs w:val="18"/>
              </w:rPr>
              <w:t xml:space="preserve">Stäube, </w:t>
            </w:r>
            <w:r w:rsidR="00696659">
              <w:rPr>
                <w:rFonts w:ascii="Calibri" w:hAnsi="Calibri" w:cs="Arial"/>
                <w:sz w:val="18"/>
                <w:szCs w:val="18"/>
              </w:rPr>
              <w:t>Dämpfe</w:t>
            </w:r>
            <w:r w:rsidR="007B1DCE">
              <w:rPr>
                <w:rFonts w:ascii="Calibri" w:hAnsi="Calibri" w:cs="Arial"/>
                <w:sz w:val="18"/>
                <w:szCs w:val="18"/>
              </w:rPr>
              <w:t xml:space="preserve"> und </w:t>
            </w:r>
            <w:r w:rsidR="00696659">
              <w:rPr>
                <w:rFonts w:ascii="Calibri" w:hAnsi="Calibri" w:cs="Arial"/>
                <w:sz w:val="18"/>
                <w:szCs w:val="18"/>
              </w:rPr>
              <w:t>Aerosole nicht einatmen.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Raum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umgehend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verlassen, dabei nach Möglichkeit Fenster öffnen. Wiedereintritt nur unter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C57E8">
              <w:rPr>
                <w:rFonts w:ascii="Calibri" w:hAnsi="Calibri" w:cs="Arial"/>
                <w:sz w:val="18"/>
                <w:szCs w:val="18"/>
              </w:rPr>
              <w:t>Nutzung von Schutzausrüstung</w:t>
            </w:r>
            <w:r w:rsidR="009B616D">
              <w:rPr>
                <w:rFonts w:ascii="Calibri" w:hAnsi="Calibri" w:cs="Arial"/>
                <w:sz w:val="18"/>
                <w:szCs w:val="18"/>
              </w:rPr>
              <w:t xml:space="preserve"> und Atemschutz. Verschüttete Flüssigkeit vorsichtig aufnehmen und</w:t>
            </w:r>
            <w:r w:rsidR="004C57E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einer ordnungsgemäßen Entsorgung zuführen.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7134D8" w:rsidRPr="006838B1" w14:paraId="48665C08" w14:textId="77777777" w:rsidTr="003145BE">
        <w:tc>
          <w:tcPr>
            <w:tcW w:w="777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D610A63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7A3824">
              <w:rPr>
                <w:sz w:val="18"/>
                <w:szCs w:val="18"/>
              </w:rPr>
              <w:t xml:space="preserve">Sofort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44533BEA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4B2F6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B2F65" w:rsidRPr="004B2F65">
              <w:rPr>
                <w:rFonts w:ascii="Calibri" w:hAnsi="Calibri"/>
                <w:sz w:val="18"/>
                <w:szCs w:val="18"/>
              </w:rPr>
              <w:t>Selbstschutz beachten.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ofort mit viel Wasser </w:t>
            </w:r>
            <w:r w:rsidR="004B2F65" w:rsidRPr="004B2F65">
              <w:rPr>
                <w:rFonts w:ascii="Calibri" w:hAnsi="Calibri"/>
                <w:sz w:val="18"/>
                <w:szCs w:val="18"/>
              </w:rPr>
              <w:t xml:space="preserve">und Seife 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7A3824" w:rsidRPr="007A3824">
              <w:rPr>
                <w:rFonts w:ascii="Calibri" w:hAnsi="Calibri" w:cs="Calibri"/>
                <w:sz w:val="18"/>
                <w:szCs w:val="18"/>
              </w:rPr>
              <w:t>Sofort</w:t>
            </w:r>
            <w:r w:rsidR="007A382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36F4B22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64634155" w14:textId="4ECE3870" w:rsidR="009A7B76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5858035E" w14:textId="77777777" w:rsidR="009A7B76" w:rsidRPr="0012264E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7134D8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3FCC7FE0" w:rsidR="002B5B06" w:rsidRPr="002B5B06" w:rsidRDefault="00513791" w:rsidP="00AE27F4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20DF5"/>
    <w:multiLevelType w:val="hybridMultilevel"/>
    <w:tmpl w:val="66AAF3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3617D"/>
    <w:rsid w:val="000806AB"/>
    <w:rsid w:val="000B256A"/>
    <w:rsid w:val="000D0D58"/>
    <w:rsid w:val="000E223E"/>
    <w:rsid w:val="00107076"/>
    <w:rsid w:val="00113DD6"/>
    <w:rsid w:val="0012264E"/>
    <w:rsid w:val="0012459F"/>
    <w:rsid w:val="00140957"/>
    <w:rsid w:val="00146343"/>
    <w:rsid w:val="00175C00"/>
    <w:rsid w:val="001A6ECC"/>
    <w:rsid w:val="001E000F"/>
    <w:rsid w:val="001F3194"/>
    <w:rsid w:val="002305DB"/>
    <w:rsid w:val="00242626"/>
    <w:rsid w:val="0025102B"/>
    <w:rsid w:val="00294774"/>
    <w:rsid w:val="002951B2"/>
    <w:rsid w:val="002B5B06"/>
    <w:rsid w:val="0031007E"/>
    <w:rsid w:val="003145BE"/>
    <w:rsid w:val="0033338A"/>
    <w:rsid w:val="00366ED2"/>
    <w:rsid w:val="00375848"/>
    <w:rsid w:val="003A5854"/>
    <w:rsid w:val="003B3369"/>
    <w:rsid w:val="003C2263"/>
    <w:rsid w:val="004249D5"/>
    <w:rsid w:val="004334C8"/>
    <w:rsid w:val="00433A96"/>
    <w:rsid w:val="004852ED"/>
    <w:rsid w:val="004910E1"/>
    <w:rsid w:val="004B2F65"/>
    <w:rsid w:val="004C4082"/>
    <w:rsid w:val="004C57E8"/>
    <w:rsid w:val="004E663C"/>
    <w:rsid w:val="00513791"/>
    <w:rsid w:val="00537035"/>
    <w:rsid w:val="0059027C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96659"/>
    <w:rsid w:val="006A3237"/>
    <w:rsid w:val="006B7D4D"/>
    <w:rsid w:val="0070530A"/>
    <w:rsid w:val="007134D8"/>
    <w:rsid w:val="00792657"/>
    <w:rsid w:val="007A3824"/>
    <w:rsid w:val="007B1DCE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E7A14"/>
    <w:rsid w:val="008F550D"/>
    <w:rsid w:val="00911989"/>
    <w:rsid w:val="009A7B76"/>
    <w:rsid w:val="009B0B71"/>
    <w:rsid w:val="009B616D"/>
    <w:rsid w:val="00A32615"/>
    <w:rsid w:val="00A53783"/>
    <w:rsid w:val="00AE27F4"/>
    <w:rsid w:val="00B06822"/>
    <w:rsid w:val="00B10FBC"/>
    <w:rsid w:val="00B21DEB"/>
    <w:rsid w:val="00B2449D"/>
    <w:rsid w:val="00B65853"/>
    <w:rsid w:val="00BA6923"/>
    <w:rsid w:val="00BB7BF4"/>
    <w:rsid w:val="00BC748B"/>
    <w:rsid w:val="00C30121"/>
    <w:rsid w:val="00C83B5F"/>
    <w:rsid w:val="00CA210E"/>
    <w:rsid w:val="00CB48F4"/>
    <w:rsid w:val="00CC26C9"/>
    <w:rsid w:val="00D12D12"/>
    <w:rsid w:val="00D13B1D"/>
    <w:rsid w:val="00D616EA"/>
    <w:rsid w:val="00D71359"/>
    <w:rsid w:val="00DB6A14"/>
    <w:rsid w:val="00DD2AC5"/>
    <w:rsid w:val="00E07F9D"/>
    <w:rsid w:val="00E16407"/>
    <w:rsid w:val="00E206A8"/>
    <w:rsid w:val="00E20F4B"/>
    <w:rsid w:val="00E2600A"/>
    <w:rsid w:val="00E531E7"/>
    <w:rsid w:val="00E560E4"/>
    <w:rsid w:val="00EB7151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13</cp:revision>
  <dcterms:created xsi:type="dcterms:W3CDTF">2020-11-12T14:35:00Z</dcterms:created>
  <dcterms:modified xsi:type="dcterms:W3CDTF">2020-11-13T12:09:00Z</dcterms:modified>
</cp:coreProperties>
</file>