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67439C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10BC214" w:rsidR="0063200C" w:rsidRPr="0063200C" w:rsidRDefault="005E0BA2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Flüssige</w:t>
            </w:r>
            <w:r w:rsidR="000D0D58">
              <w:rPr>
                <w:rFonts w:asciiTheme="minorHAnsi" w:hAnsiTheme="minorHAnsi" w:cstheme="minorHAnsi"/>
                <w:sz w:val="32"/>
                <w:szCs w:val="32"/>
              </w:rPr>
              <w:t xml:space="preserve"> gesundheitsschädliche Stoffe 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67439C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134F4C44" w:rsidR="00A32615" w:rsidRDefault="00107123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42D9B14" wp14:editId="3AA78DC6">
                  <wp:extent cx="470263" cy="470263"/>
                  <wp:effectExtent l="0" t="0" r="635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71" cy="48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2D3B2111" w:rsidR="009B0B71" w:rsidRPr="007E0B99" w:rsidRDefault="00D24EE3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975BC04" wp14:editId="5AF66097">
                  <wp:extent cx="459812" cy="45981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65" cy="4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C098B12" w14:textId="77777777" w:rsidR="00146343" w:rsidRPr="00146343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Gesundheitsschädlich beim Einatmen, Verschlucken und Berührung mit der Haut.</w:t>
            </w:r>
          </w:p>
          <w:p w14:paraId="6984D89E" w14:textId="25F8E2AF" w:rsidR="00911989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Gesundheitsschädliche Gefahrstoffe können Verätzungen und/oder Reizungen der Augen, Atmungsorgane und der Haut verursachen.</w:t>
            </w:r>
          </w:p>
          <w:p w14:paraId="2B45B254" w14:textId="5C78465E" w:rsidR="00146343" w:rsidRPr="00146343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Irreversibler Schaden möglich.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67439C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051A8E5" w14:textId="2906D196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 und an einem gut gelüfteten Ort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137A016" w14:textId="6EE1730B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10712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aus Fluorkautschuk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FB4D529" w14:textId="717EB4BF" w:rsidR="0067439C" w:rsidRDefault="005E0BA2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und Aerosole nicht einatmen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9C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46F550B9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5E0BA2">
              <w:rPr>
                <w:rFonts w:ascii="Calibri" w:hAnsi="Calibri" w:cs="Arial"/>
                <w:sz w:val="18"/>
                <w:szCs w:val="18"/>
              </w:rPr>
              <w:t>Dämpfe und Aerosole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Substanzkontakt vermeiden.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5E0BA2">
              <w:rPr>
                <w:rFonts w:ascii="Calibri" w:hAnsi="Calibri" w:cs="Arial"/>
                <w:sz w:val="18"/>
                <w:szCs w:val="18"/>
              </w:rPr>
              <w:t>Flüssigkeit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E0BA2">
              <w:rPr>
                <w:rFonts w:ascii="Calibri" w:hAnsi="Calibri" w:cs="Arial"/>
                <w:sz w:val="18"/>
                <w:szCs w:val="18"/>
              </w:rPr>
              <w:t xml:space="preserve"> mit Universalbinder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 aufnehmen und in beständigen, verschließbaren und gekennzeichneten Gefäßen sammeln und dem Entsorgungszentrum der TU Darmstadt zuführen.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67439C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7FD1EB96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0BA2">
              <w:rPr>
                <w:rFonts w:ascii="Calibri" w:hAnsi="Calibri"/>
                <w:sz w:val="18"/>
                <w:szCs w:val="18"/>
              </w:rPr>
              <w:t>Mindestens 15 Minuten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76E79C16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07297672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Die Person an die frische Luft bringen und für ungehinderte Atmung sorgen. </w:t>
            </w:r>
            <w:r w:rsidR="005E0BA2">
              <w:rPr>
                <w:rFonts w:ascii="Calibri" w:hAnsi="Calibri"/>
                <w:sz w:val="18"/>
                <w:szCs w:val="18"/>
              </w:rPr>
              <w:t>Ärztliche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67439C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7E9183F5" w:rsid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0133BFE3" w14:textId="39550AC2" w:rsidR="002B5B06" w:rsidRPr="002B5B06" w:rsidRDefault="002B5B06" w:rsidP="002B5B06">
      <w:pPr>
        <w:tabs>
          <w:tab w:val="left" w:pos="877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2B5B06" w:rsidRPr="002B5B0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07123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24EE3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6</cp:revision>
  <dcterms:created xsi:type="dcterms:W3CDTF">2020-11-12T08:35:00Z</dcterms:created>
  <dcterms:modified xsi:type="dcterms:W3CDTF">2020-11-16T09:56:00Z</dcterms:modified>
</cp:coreProperties>
</file>